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3.xml.rels" ContentType="application/vnd.openxmlformats-package.relationships+xml"/>
  <Override PartName="/word/numbering.xml" ContentType="application/vnd.openxmlformats-officedocument.wordprocessingml.numbering+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charts/chart1.xml" ContentType="application/vnd.openxmlformats-officedocument.drawingml.chart+xml"/>
  <Override PartName="/word/header3.xml" ContentType="application/vnd.openxmlformats-officedocument.wordprocessingml.header+xml"/>
  <Override PartName="/word/media/image1.png" ContentType="image/png"/>
  <Override PartName="/word/media/image2.png" ContentType="image/png"/>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_rels/.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top w:val="single" w:sz="4" w:space="1" w:color="000000"/>
        </w:pBdr>
        <w:spacing w:lineRule="auto" w:line="240" w:before="240" w:after="0"/>
        <w:jc w:val="center"/>
        <w:rPr>
          <w:rFonts w:ascii="Times New Roman" w:hAnsi="Times New Roman" w:eastAsia="Arial" w:cs="Times New Roman"/>
          <w:b/>
          <w:b/>
          <w:color w:val="000000"/>
          <w:sz w:val="32"/>
          <w:szCs w:val="32"/>
        </w:rPr>
      </w:pPr>
      <w:bookmarkStart w:id="0" w:name="30j0zll"/>
      <w:bookmarkEnd w:id="0"/>
      <w:r>
        <w:rPr>
          <w:rFonts w:eastAsia="Arial" w:cs="Times New Roman" w:ascii="Times New Roman" w:hAnsi="Times New Roman"/>
          <w:b/>
          <w:color w:val="000000"/>
          <w:sz w:val="32"/>
          <w:szCs w:val="32"/>
        </w:rPr>
        <w:t xml:space="preserve">Preparation of a Formatted International Journal of Engineering and Technology (InJET) </w:t>
      </w:r>
    </w:p>
    <w:p>
      <w:pPr>
        <w:pStyle w:val="Normal"/>
        <w:spacing w:lineRule="auto" w:line="240" w:before="240" w:after="0"/>
        <w:jc w:val="center"/>
        <w:rPr>
          <w:rFonts w:ascii="Times New Roman" w:hAnsi="Times New Roman" w:eastAsia="Times New Roman" w:cs="Times New Roman"/>
          <w:bCs/>
          <w:color w:val="000000"/>
          <w:sz w:val="20"/>
          <w:szCs w:val="20"/>
        </w:rPr>
      </w:pPr>
      <w:r>
        <w:rPr>
          <w:rStyle w:val="FootnoteAnchor"/>
          <w:rFonts w:eastAsia="Symbol" w:cs="Symbol" w:ascii="Symbol" w:hAnsi="Symbol"/>
          <w:bCs/>
          <w:color w:val="000000"/>
          <w:sz w:val="20"/>
          <w:szCs w:val="20"/>
        </w:rPr>
        <w:footnoteReference w:customMarkFollows="1" w:id="2"/>
        <w:t></w:t>
      </w:r>
      <w:r>
        <w:rPr>
          <w:rFonts w:eastAsia="Times New Roman" w:cs="Times New Roman" w:ascii="Times New Roman" w:hAnsi="Times New Roman"/>
          <w:bCs/>
          <w:color w:val="000000"/>
          <w:sz w:val="20"/>
          <w:szCs w:val="20"/>
        </w:rPr>
        <w:t>Firstname Surname (first author)</w:t>
      </w:r>
    </w:p>
    <w:p>
      <w:pPr>
        <w:pStyle w:val="Normal"/>
        <w:spacing w:lineRule="auto" w:line="240" w:before="0" w:after="0"/>
        <w:jc w:val="center"/>
        <w:rPr>
          <w:rFonts w:ascii="Times New Roman" w:hAnsi="Times New Roman" w:eastAsia="Times New Roman" w:cs="Times New Roman"/>
          <w:color w:val="000000"/>
          <w:sz w:val="16"/>
          <w:szCs w:val="16"/>
        </w:rPr>
      </w:pPr>
      <w:r>
        <w:rPr>
          <w:rFonts w:eastAsia="Times New Roman" w:cs="Times New Roman" w:ascii="Times New Roman" w:hAnsi="Times New Roman"/>
          <w:bCs/>
          <w:color w:val="000000"/>
          <w:sz w:val="20"/>
          <w:szCs w:val="20"/>
        </w:rPr>
        <w:t xml:space="preserve"> </w:t>
      </w:r>
      <w:r>
        <w:rPr>
          <w:rFonts w:eastAsia="Times New Roman" w:cs="Times New Roman" w:ascii="Times New Roman" w:hAnsi="Times New Roman"/>
          <w:color w:val="000000"/>
          <w:sz w:val="16"/>
          <w:szCs w:val="16"/>
        </w:rPr>
        <w:t xml:space="preserve">Affiliation (Department of Civil Engineering </w:t>
      </w:r>
    </w:p>
    <w:p>
      <w:pPr>
        <w:pStyle w:val="Normal"/>
        <w:spacing w:lineRule="auto" w:line="240" w:before="0" w:after="0"/>
        <w:jc w:val="center"/>
        <w:rPr>
          <w:rFonts w:ascii="Times New Roman" w:hAnsi="Times New Roman" w:eastAsia="Times New Roman" w:cs="Times New Roman"/>
          <w:color w:val="000000"/>
          <w:sz w:val="16"/>
          <w:szCs w:val="16"/>
        </w:rPr>
      </w:pPr>
      <w:r>
        <w:rPr>
          <w:rFonts w:eastAsia="Times New Roman" w:cs="Times New Roman" w:ascii="Times New Roman" w:hAnsi="Times New Roman"/>
          <w:color w:val="000000"/>
          <w:sz w:val="16"/>
          <w:szCs w:val="16"/>
        </w:rPr>
        <w:t xml:space="preserve">Federal Polytechnic, Ilaro, Ogun state, Nigeria) </w:t>
      </w:r>
    </w:p>
    <w:p>
      <w:pPr>
        <w:pStyle w:val="Normal"/>
        <w:spacing w:lineRule="auto" w:line="240" w:before="240" w:after="0"/>
        <w:jc w:val="center"/>
        <w:rPr>
          <w:rFonts w:ascii="Times New Roman" w:hAnsi="Times New Roman" w:eastAsia="Times New Roman" w:cs="Times New Roman"/>
          <w:bCs/>
          <w:color w:val="000000"/>
          <w:sz w:val="20"/>
          <w:szCs w:val="20"/>
        </w:rPr>
      </w:pPr>
      <w:r>
        <w:rPr>
          <w:rFonts w:eastAsia="Times New Roman" w:cs="Times New Roman" w:ascii="Times New Roman" w:hAnsi="Times New Roman"/>
          <w:bCs/>
          <w:color w:val="000000"/>
          <w:sz w:val="20"/>
          <w:szCs w:val="20"/>
        </w:rPr>
        <w:t>First name Last name (second author),</w:t>
      </w:r>
    </w:p>
    <w:p>
      <w:pPr>
        <w:pStyle w:val="Normal"/>
        <w:spacing w:lineRule="auto" w:line="240" w:before="0" w:after="0"/>
        <w:jc w:val="center"/>
        <w:rPr>
          <w:rFonts w:ascii="Times New Roman" w:hAnsi="Times New Roman" w:eastAsia="Times New Roman" w:cs="Times New Roman"/>
          <w:color w:val="000000"/>
          <w:sz w:val="16"/>
          <w:szCs w:val="16"/>
        </w:rPr>
      </w:pPr>
      <w:r>
        <w:rPr>
          <w:rFonts w:eastAsia="Times New Roman" w:cs="Times New Roman" w:ascii="Times New Roman" w:hAnsi="Times New Roman"/>
          <w:color w:val="000000"/>
          <w:sz w:val="16"/>
          <w:szCs w:val="16"/>
        </w:rPr>
        <w:t>Affiliation (Department of Civil Engineering</w:t>
      </w:r>
    </w:p>
    <w:p>
      <w:pPr>
        <w:pStyle w:val="Normal"/>
        <w:spacing w:lineRule="auto" w:line="240" w:before="0" w:after="0"/>
        <w:jc w:val="center"/>
        <w:rPr>
          <w:rFonts w:ascii="Times New Roman" w:hAnsi="Times New Roman" w:eastAsia="Times New Roman" w:cs="Times New Roman"/>
          <w:color w:val="000000"/>
          <w:sz w:val="16"/>
          <w:szCs w:val="16"/>
        </w:rPr>
      </w:pPr>
      <w:r>
        <w:rPr>
          <w:rFonts w:eastAsia="Times New Roman" w:cs="Times New Roman" w:ascii="Times New Roman" w:hAnsi="Times New Roman"/>
          <w:color w:val="000000"/>
          <w:sz w:val="16"/>
          <w:szCs w:val="16"/>
        </w:rPr>
        <w:t xml:space="preserve">Federal Polytechnic, Ilaro, Ogun state, Nigeria) </w:t>
      </w:r>
    </w:p>
    <w:p>
      <w:pPr>
        <w:pStyle w:val="Normal"/>
        <w:spacing w:lineRule="auto" w:line="240" w:before="240" w:after="0"/>
        <w:jc w:val="center"/>
        <w:rPr>
          <w:rFonts w:ascii="Times New Roman" w:hAnsi="Times New Roman" w:eastAsia="Times New Roman" w:cs="Times New Roman"/>
          <w:bCs/>
          <w:color w:val="000000"/>
          <w:sz w:val="20"/>
          <w:szCs w:val="20"/>
        </w:rPr>
      </w:pPr>
      <w:r>
        <w:rPr>
          <w:rFonts w:eastAsia="Times New Roman" w:cs="Times New Roman" w:ascii="Times New Roman" w:hAnsi="Times New Roman"/>
          <w:bCs/>
          <w:color w:val="000000"/>
          <w:sz w:val="20"/>
          <w:szCs w:val="20"/>
        </w:rPr>
        <w:t xml:space="preserve">Firstname Surname (third author) </w:t>
      </w:r>
    </w:p>
    <w:p>
      <w:pPr>
        <w:pStyle w:val="Normal"/>
        <w:spacing w:lineRule="auto" w:line="240" w:before="0" w:after="0"/>
        <w:jc w:val="center"/>
        <w:rPr>
          <w:rFonts w:ascii="Times New Roman" w:hAnsi="Times New Roman" w:eastAsia="Times New Roman" w:cs="Times New Roman"/>
          <w:color w:val="000000"/>
          <w:sz w:val="16"/>
          <w:szCs w:val="16"/>
        </w:rPr>
      </w:pPr>
      <w:r>
        <w:rPr>
          <w:rFonts w:eastAsia="Times New Roman" w:cs="Times New Roman" w:ascii="Times New Roman" w:hAnsi="Times New Roman"/>
          <w:color w:val="000000"/>
          <w:sz w:val="16"/>
          <w:szCs w:val="16"/>
        </w:rPr>
        <w:t>Affiliation (Microsoft Nigeria Ltd.)</w:t>
      </w:r>
    </w:p>
    <w:p>
      <w:pPr>
        <w:pStyle w:val="Normal"/>
        <w:spacing w:lineRule="auto" w:line="240" w:before="240" w:after="0"/>
        <w:jc w:val="center"/>
        <w:rPr>
          <w:rFonts w:ascii="Times New Roman" w:hAnsi="Times New Roman" w:eastAsia="Times New Roman" w:cs="Times New Roman"/>
          <w:bCs/>
          <w:color w:val="000000"/>
          <w:sz w:val="20"/>
          <w:szCs w:val="20"/>
        </w:rPr>
      </w:pPr>
      <w:r>
        <w:rPr>
          <w:rFonts w:eastAsia="Times New Roman" w:cs="Times New Roman" w:ascii="Times New Roman" w:hAnsi="Times New Roman"/>
          <w:bCs/>
          <w:color w:val="000000"/>
          <w:sz w:val="20"/>
          <w:szCs w:val="20"/>
        </w:rPr>
        <w:t xml:space="preserve"> </w:t>
      </w:r>
      <w:r>
        <w:rPr>
          <w:rFonts w:eastAsia="Times New Roman" w:cs="Times New Roman" w:ascii="Times New Roman" w:hAnsi="Times New Roman"/>
          <w:bCs/>
          <w:color w:val="000000"/>
          <w:sz w:val="20"/>
          <w:szCs w:val="20"/>
        </w:rPr>
        <w:t>First name Last name (Last author)</w:t>
      </w:r>
    </w:p>
    <w:p>
      <w:pPr>
        <w:pStyle w:val="Normal"/>
        <w:spacing w:lineRule="auto" w:line="240"/>
        <w:jc w:val="center"/>
        <w:rPr>
          <w:rFonts w:ascii="Times New Roman" w:hAnsi="Times New Roman" w:eastAsia="Times New Roman" w:cs="Times New Roman"/>
          <w:bCs/>
          <w:color w:val="000000"/>
          <w:sz w:val="20"/>
          <w:szCs w:val="20"/>
        </w:rPr>
      </w:pPr>
      <w:r>
        <w:rPr>
          <w:rFonts w:eastAsia="Times New Roman" w:cs="Times New Roman" w:ascii="Times New Roman" w:hAnsi="Times New Roman"/>
          <w:color w:val="000000"/>
          <w:sz w:val="16"/>
          <w:szCs w:val="16"/>
        </w:rPr>
        <w:t>Affiliation (Microsoft Nigeria Ltd.)</w:t>
      </w:r>
    </w:p>
    <w:p>
      <w:pPr>
        <w:pStyle w:val="Normal"/>
        <w:pBdr>
          <w:bottom w:val="single" w:sz="4" w:space="1" w:color="000000"/>
        </w:pBdr>
        <w:spacing w:lineRule="auto" w:line="240" w:before="0" w:after="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p>
      <w:pPr>
        <w:pStyle w:val="Normal"/>
        <w:keepNext w:val="true"/>
        <w:spacing w:lineRule="auto" w:line="240" w:before="240" w:after="120"/>
        <w:ind w:left="510" w:hanging="510"/>
        <w:rPr>
          <w:rFonts w:ascii="Times New Roman" w:hAnsi="Times New Roman" w:eastAsia="Times New Roman" w:cs="Times New Roman"/>
          <w:b/>
          <w:b/>
          <w:smallCaps/>
          <w:color w:val="000000"/>
          <w:sz w:val="20"/>
          <w:szCs w:val="20"/>
        </w:rPr>
      </w:pPr>
      <w:r>
        <w:rPr>
          <w:rFonts w:eastAsia="Times New Roman" w:cs="Times New Roman" w:ascii="Times New Roman" w:hAnsi="Times New Roman"/>
          <w:b/>
          <w:smallCaps/>
          <w:color w:val="000000"/>
          <w:sz w:val="20"/>
          <w:szCs w:val="20"/>
        </w:rPr>
        <w:t>ABSTRACT</w:t>
      </w:r>
    </w:p>
    <w:p>
      <w:pPr>
        <w:pStyle w:val="Normal"/>
        <w:jc w:val="both"/>
        <w:rPr/>
      </w:pPr>
      <w:r>
        <w:rPr>
          <w:rFonts w:cs="Times New Roman" w:ascii="Times New Roman" w:hAnsi="Times New Roman"/>
          <w:sz w:val="20"/>
          <w:szCs w:val="20"/>
        </w:rPr>
        <w:t xml:space="preserve">Endeavour to read through these paper formatting guidelines. These guidelines provide the final, peer reviewed paper preparation for the international journal of engineering and technology. Some recommendations on writing for a worldwide readership are offered.  Please review this document to learn about the formatting of text, table captions, references, and the method to include the indexing information. The journal is published twice every year in an electronic format. The full paper in MS Word file shall be written in compliance with these instructions. An abstract of 200-250 words should appear on the top of the first page, after the title of the paper in a section titled "ABSTRACT" (without section number), after the names of the authors.   </w:t>
      </w:r>
    </w:p>
    <w:p>
      <w:pPr>
        <w:pStyle w:val="Normal"/>
        <w:pBdr>
          <w:bottom w:val="single" w:sz="4" w:space="1" w:color="000000"/>
        </w:pBdr>
        <w:rPr>
          <w:rFonts w:ascii="Times New Roman" w:hAnsi="Times New Roman" w:cs="Times New Roman"/>
          <w:sz w:val="20"/>
          <w:szCs w:val="20"/>
        </w:rPr>
      </w:pPr>
      <w:r>
        <w:rPr>
          <w:rFonts w:cs="Times New Roman" w:ascii="Times New Roman" w:hAnsi="Times New Roman"/>
          <w:b/>
          <w:sz w:val="20"/>
          <w:szCs w:val="20"/>
        </w:rPr>
        <w:t xml:space="preserve">KEYWORDS: </w:t>
      </w:r>
      <w:r>
        <w:rPr>
          <w:rFonts w:cs="Times New Roman" w:ascii="Times New Roman" w:hAnsi="Times New Roman"/>
          <w:sz w:val="20"/>
          <w:szCs w:val="20"/>
        </w:rPr>
        <w:t>Not more than 6 keywords (in alphabetical order) and separated by semicolon.</w:t>
      </w:r>
    </w:p>
    <w:p>
      <w:pPr>
        <w:sectPr>
          <w:headerReference w:type="even" r:id="rId2"/>
          <w:headerReference w:type="default" r:id="rId3"/>
          <w:headerReference w:type="first" r:id="rId4"/>
          <w:footerReference w:type="even" r:id="rId5"/>
          <w:footerReference w:type="default" r:id="rId6"/>
          <w:footerReference w:type="first" r:id="rId7"/>
          <w:footnotePr>
            <w:numFmt w:val="decimal"/>
          </w:footnotePr>
          <w:type w:val="nextPage"/>
          <w:pgSz w:w="12240" w:h="15840"/>
          <w:pgMar w:left="1080" w:right="864" w:gutter="0" w:header="360" w:top="1440" w:footer="720" w:bottom="1080"/>
          <w:pgNumType w:start="1" w:fmt="decimal"/>
          <w:formProt w:val="false"/>
          <w:titlePg/>
          <w:textDirection w:val="lrTb"/>
          <w:docGrid w:type="default" w:linePitch="299" w:charSpace="0"/>
        </w:sectPr>
      </w:pPr>
    </w:p>
    <w:p>
      <w:pPr>
        <w:pStyle w:val="Heading1"/>
        <w:numPr>
          <w:ilvl w:val="0"/>
          <w:numId w:val="2"/>
        </w:numPr>
        <w:spacing w:before="240" w:after="120"/>
        <w:rPr>
          <w:sz w:val="20"/>
          <w:szCs w:val="20"/>
        </w:rPr>
      </w:pPr>
      <w:r>
        <w:rPr>
          <w:sz w:val="20"/>
          <w:szCs w:val="20"/>
        </w:rPr>
        <w:t xml:space="preserve">INTRODUCTION </w:t>
      </w:r>
    </w:p>
    <w:p>
      <w:pPr>
        <w:pStyle w:val="Normal"/>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t>It is expected that authors will submit carefully written and proofread material. Careful checking for spelling and grammatical errors should be performed. The number of pages of the paper should be between 6 and 10. Papers should clearly describe the background of the subject, the authors work, including the methods used, results and concluding discussion on the importance of the work. The full paper should be written in British English and SI units must be used throughout. Technical terms should be explained unless they may be considered to be known to the conference community.</w:t>
      </w:r>
    </w:p>
    <w:p>
      <w:pPr>
        <w:pStyle w:val="Normal"/>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t>Conclusion/Recommendations should state concisely the most important propositions of the paper as well as the author’s view of the practical implications of the results.</w:t>
      </w:r>
    </w:p>
    <w:p>
      <w:pPr>
        <w:pStyle w:val="Heading1"/>
        <w:numPr>
          <w:ilvl w:val="0"/>
          <w:numId w:val="2"/>
        </w:numPr>
        <w:spacing w:before="240" w:after="120"/>
        <w:rPr>
          <w:color w:val="auto"/>
          <w:sz w:val="20"/>
          <w:szCs w:val="20"/>
        </w:rPr>
      </w:pPr>
      <w:r>
        <w:rPr>
          <w:color w:val="auto"/>
          <w:sz w:val="20"/>
          <w:szCs w:val="20"/>
        </w:rPr>
        <w:t>CUSTOM TITLE</w:t>
      </w:r>
    </w:p>
    <w:p>
      <w:pPr>
        <w:pStyle w:val="Normal"/>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t>In-text citations must be properly carried out and the list of references provided according to 7</w:t>
      </w:r>
      <w:r>
        <w:rPr>
          <w:rFonts w:eastAsia="Times New Roman" w:cs="Times New Roman" w:ascii="Times New Roman" w:hAnsi="Times New Roman"/>
          <w:sz w:val="20"/>
          <w:szCs w:val="20"/>
          <w:vertAlign w:val="superscript"/>
        </w:rPr>
        <w:t>th</w:t>
      </w:r>
      <w:r>
        <w:rPr>
          <w:rFonts w:eastAsia="Times New Roman" w:cs="Times New Roman" w:ascii="Times New Roman" w:hAnsi="Times New Roman"/>
          <w:sz w:val="20"/>
          <w:szCs w:val="20"/>
        </w:rPr>
        <w:t xml:space="preserve"> Edition of APA Style of Referencing. All references cited must be listed and vice versa. Authors are strongly advised to check the similarity index of their work using any standard similarity index checker. The accepted similarly index is 20%.   </w:t>
      </w:r>
    </w:p>
    <w:p>
      <w:pPr>
        <w:pStyle w:val="Heading1"/>
        <w:numPr>
          <w:ilvl w:val="0"/>
          <w:numId w:val="2"/>
        </w:numPr>
        <w:spacing w:before="240" w:after="120"/>
        <w:rPr>
          <w:sz w:val="20"/>
          <w:szCs w:val="20"/>
        </w:rPr>
      </w:pPr>
      <w:r>
        <w:rPr>
          <w:sz w:val="20"/>
          <w:szCs w:val="20"/>
        </w:rPr>
        <w:t>METHODOLOGY</w:t>
      </w:r>
    </w:p>
    <w:p>
      <w:pPr>
        <w:pStyle w:val="Normal"/>
        <w:jc w:val="both"/>
        <w:rPr>
          <w:rFonts w:ascii="Times New Roman" w:hAnsi="Times New Roman" w:cs="Times New Roman"/>
          <w:sz w:val="20"/>
          <w:szCs w:val="20"/>
        </w:rPr>
      </w:pPr>
      <w:r>
        <w:rPr>
          <w:rFonts w:eastAsia="Times New Roman" w:cs="Times New Roman" w:ascii="Times New Roman" w:hAnsi="Times New Roman"/>
          <w:sz w:val="20"/>
          <w:szCs w:val="20"/>
        </w:rPr>
        <w:t>The uniform appearance will assist the reader to read paper of the proceedings. It is therefore suggested to authors to use the example of this file to construct their papers. Use a format with 25 mm margins left, right, top and bottom. All text paragraphs should be single spaced, with first line intended by 10 mm. Double spacing should only be used before and after headings and subheadings as shown in this example. Position and style of headings and subheadings should follow this example. Spaces should be used to separate paragraphs</w:t>
      </w:r>
      <w:r>
        <w:rPr>
          <w:sz w:val="20"/>
          <w:szCs w:val="20"/>
        </w:rPr>
        <w:t xml:space="preserve">. </w:t>
      </w:r>
      <w:r>
        <w:rPr>
          <w:rFonts w:cs="Times New Roman" w:ascii="Times New Roman" w:hAnsi="Times New Roman"/>
          <w:sz w:val="20"/>
          <w:szCs w:val="20"/>
        </w:rPr>
        <w:t>Ensure that the template header is retained.</w:t>
      </w:r>
    </w:p>
    <w:p>
      <w:pPr>
        <w:pStyle w:val="Normal"/>
        <w:jc w:val="both"/>
        <w:rPr>
          <w:rFonts w:ascii="Times New Roman" w:hAnsi="Times New Roman" w:cs="Times New Roman"/>
          <w:sz w:val="20"/>
          <w:szCs w:val="20"/>
        </w:rPr>
      </w:pPr>
      <w:r>
        <w:rPr>
          <w:rFonts w:cs="Times New Roman" w:ascii="Times New Roman" w:hAnsi="Times New Roman"/>
          <w:sz w:val="20"/>
          <w:szCs w:val="20"/>
        </w:rPr>
        <w:t>Conclusions/Recommendations should state concisely the most important propositions of the paper as well as the author’s views of the practical implications of the results.</w:t>
      </w:r>
    </w:p>
    <w:p>
      <w:pPr>
        <w:pStyle w:val="Heading2"/>
        <w:numPr>
          <w:ilvl w:val="1"/>
          <w:numId w:val="2"/>
        </w:numPr>
        <w:spacing w:before="0" w:after="120"/>
        <w:rPr>
          <w:sz w:val="20"/>
          <w:szCs w:val="20"/>
        </w:rPr>
      </w:pPr>
      <w:r>
        <w:rPr>
          <w:sz w:val="20"/>
          <w:szCs w:val="20"/>
        </w:rPr>
        <w:t>Subheading</w:t>
      </w:r>
    </w:p>
    <w:p>
      <w:pPr>
        <w:pStyle w:val="Normal"/>
        <w:jc w:val="both"/>
        <w:rPr>
          <w:rFonts w:ascii="Times New Roman" w:hAnsi="Times New Roman" w:cs="Times New Roman"/>
          <w:sz w:val="20"/>
          <w:szCs w:val="20"/>
        </w:rPr>
      </w:pPr>
      <w:r>
        <w:rPr>
          <w:rFonts w:eastAsia="Times New Roman" w:cs="Times New Roman" w:ascii="Times New Roman" w:hAnsi="Times New Roman"/>
          <w:sz w:val="20"/>
          <w:szCs w:val="20"/>
        </w:rPr>
        <w:t xml:space="preserve">Author affiliations should be provided without repetition each time for multiple authors of the same affiliation. </w:t>
      </w:r>
    </w:p>
    <w:p>
      <w:pPr>
        <w:pStyle w:val="Normal"/>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Please keep your affiliations as succinct as possible. </w:t>
      </w:r>
    </w:p>
    <w:p>
      <w:pPr>
        <w:pStyle w:val="ListParagraph"/>
        <w:numPr>
          <w:ilvl w:val="1"/>
          <w:numId w:val="2"/>
        </w:numPr>
        <w:jc w:val="both"/>
        <w:rPr>
          <w:rFonts w:ascii="Times New Roman" w:hAnsi="Times New Roman" w:cs="Times New Roman"/>
          <w:b/>
          <w:b/>
          <w:sz w:val="20"/>
          <w:szCs w:val="20"/>
        </w:rPr>
      </w:pPr>
      <w:r>
        <w:rPr>
          <w:rFonts w:cs="Times New Roman" w:ascii="Times New Roman" w:hAnsi="Times New Roman"/>
          <w:b/>
          <w:sz w:val="20"/>
          <w:szCs w:val="20"/>
        </w:rPr>
        <w:t>Subheading</w:t>
      </w:r>
    </w:p>
    <w:p>
      <w:pPr>
        <w:pStyle w:val="Normal"/>
        <w:jc w:val="both"/>
        <w:rPr>
          <w:rFonts w:ascii="Times New Roman" w:hAnsi="Times New Roman" w:cs="Times New Roman"/>
          <w:bCs/>
          <w:sz w:val="20"/>
          <w:szCs w:val="20"/>
        </w:rPr>
      </w:pPr>
      <w:r>
        <w:rPr>
          <w:rFonts w:eastAsia="Times New Roman" w:cs="Times New Roman" w:ascii="Times New Roman" w:hAnsi="Times New Roman"/>
          <w:sz w:val="20"/>
          <w:szCs w:val="20"/>
        </w:rPr>
        <w:t xml:space="preserve">Papers should use 10-point Times New Roman font. The </w:t>
      </w:r>
    </w:p>
    <w:p>
      <w:pPr>
        <w:pStyle w:val="Normal"/>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t>styles available are bold, italic and underlined.   It is recommended that text in figures should not smaller than 10-point font size.</w:t>
      </w:r>
    </w:p>
    <w:p>
      <w:pPr>
        <w:pStyle w:val="Heading2"/>
        <w:numPr>
          <w:ilvl w:val="0"/>
          <w:numId w:val="2"/>
        </w:numPr>
        <w:spacing w:before="0" w:after="120"/>
        <w:rPr>
          <w:sz w:val="20"/>
          <w:szCs w:val="20"/>
        </w:rPr>
      </w:pPr>
      <w:r>
        <w:rPr>
          <w:sz w:val="20"/>
          <w:szCs w:val="20"/>
        </w:rPr>
        <w:t xml:space="preserve">RESULT AND DISCUSSION </w:t>
      </w:r>
    </w:p>
    <w:p>
      <w:pPr>
        <w:pStyle w:val="Normal"/>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t>Result and discussions may be combined in one section. They may also be separately considered. 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 with a ratio of quantities and units. For example, write “Temperature (K)”, not “Temperature/K”.</w:t>
      </w:r>
    </w:p>
    <w:p>
      <w:pPr>
        <w:pStyle w:val="Normal"/>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t>Figures and tables should be numbered consecutively.  Use Arabic numerals for figures and Roman numerals for tables. Figure captions and table headings should be sufficient to explain the figure or table without needing to refer to the text. Figures and tables not cited in the text should not be presented. The following is an example for Table 1.</w:t>
      </w:r>
    </w:p>
    <w:p>
      <w:pPr>
        <w:pStyle w:val="Normal"/>
        <w:spacing w:before="0" w:after="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Table 1: Title of the Table</w:t>
      </w:r>
    </w:p>
    <w:tbl>
      <w:tblPr>
        <w:tblpPr w:vertAnchor="text" w:horzAnchor="margin" w:leftFromText="180" w:rightFromText="180" w:tblpX="-1" w:tblpY="148"/>
        <w:tblW w:w="4663" w:type="dxa"/>
        <w:jc w:val="left"/>
        <w:tblInd w:w="-2" w:type="dxa"/>
        <w:tblLayout w:type="fixed"/>
        <w:tblCellMar>
          <w:top w:w="0" w:type="dxa"/>
          <w:left w:w="108" w:type="dxa"/>
          <w:bottom w:w="0" w:type="dxa"/>
          <w:right w:w="108" w:type="dxa"/>
        </w:tblCellMar>
        <w:tblLook w:val="04a0" w:noHBand="0" w:noVBand="1" w:firstColumn="1" w:lastRow="0" w:lastColumn="0" w:firstRow="1"/>
      </w:tblPr>
      <w:tblGrid>
        <w:gridCol w:w="987"/>
        <w:gridCol w:w="1260"/>
        <w:gridCol w:w="1170"/>
        <w:gridCol w:w="1245"/>
      </w:tblGrid>
      <w:tr>
        <w:trPr>
          <w:tblHeader w:val="true"/>
          <w:trHeight w:val="208" w:hRule="atLeast"/>
          <w:cantSplit w:val="true"/>
        </w:trPr>
        <w:tc>
          <w:tcPr>
            <w:tcW w:w="987" w:type="dxa"/>
            <w:vMerge w:val="restart"/>
            <w:tcBorders>
              <w:top w:val="single" w:sz="2" w:space="0" w:color="000000"/>
              <w:left w:val="single" w:sz="2" w:space="0" w:color="000000"/>
              <w:bottom w:val="single" w:sz="2" w:space="0" w:color="000000"/>
              <w:right w:val="single" w:sz="2" w:space="0" w:color="000000"/>
            </w:tcBorders>
            <w:vAlign w:val="center"/>
          </w:tcPr>
          <w:p>
            <w:pPr>
              <w:pStyle w:val="Tablecolhead"/>
              <w:widowControl w:val="false"/>
              <w:rPr/>
            </w:pPr>
            <w:r>
              <w:rPr/>
              <w:t>Table Heading</w:t>
            </w:r>
          </w:p>
        </w:tc>
        <w:tc>
          <w:tcPr>
            <w:tcW w:w="3675" w:type="dxa"/>
            <w:gridSpan w:val="3"/>
            <w:tcBorders>
              <w:top w:val="single" w:sz="2" w:space="0" w:color="000000"/>
              <w:left w:val="single" w:sz="2" w:space="0" w:color="000000"/>
              <w:bottom w:val="single" w:sz="2" w:space="0" w:color="000000"/>
              <w:right w:val="single" w:sz="2" w:space="0" w:color="000000"/>
            </w:tcBorders>
            <w:vAlign w:val="center"/>
          </w:tcPr>
          <w:p>
            <w:pPr>
              <w:pStyle w:val="Tablecolhead"/>
              <w:widowControl w:val="false"/>
              <w:rPr/>
            </w:pPr>
            <w:r>
              <w:rPr/>
              <w:t>Table Column Heading</w:t>
            </w:r>
          </w:p>
        </w:tc>
      </w:tr>
      <w:tr>
        <w:trPr>
          <w:tblHeader w:val="true"/>
          <w:trHeight w:val="208" w:hRule="atLeast"/>
          <w:cantSplit w:val="true"/>
        </w:trPr>
        <w:tc>
          <w:tcPr>
            <w:tcW w:w="987" w:type="dxa"/>
            <w:vMerge w:val="continue"/>
            <w:tcBorders>
              <w:top w:val="single" w:sz="2" w:space="0" w:color="000000"/>
              <w:left w:val="single" w:sz="2" w:space="0" w:color="000000"/>
              <w:bottom w:val="single" w:sz="2" w:space="0" w:color="000000"/>
              <w:right w:val="single" w:sz="2" w:space="0" w:color="000000"/>
            </w:tcBorders>
          </w:tcPr>
          <w:p>
            <w:pPr>
              <w:pStyle w:val="Normal"/>
              <w:widowControl w:val="false"/>
              <w:spacing w:before="0" w:after="200"/>
              <w:rPr>
                <w:sz w:val="16"/>
                <w:szCs w:val="16"/>
              </w:rPr>
            </w:pPr>
            <w:r>
              <w:rPr>
                <w:sz w:val="16"/>
                <w:szCs w:val="16"/>
              </w:rPr>
            </w:r>
          </w:p>
        </w:tc>
        <w:tc>
          <w:tcPr>
            <w:tcW w:w="1260" w:type="dxa"/>
            <w:tcBorders>
              <w:top w:val="single" w:sz="2" w:space="0" w:color="000000"/>
              <w:left w:val="single" w:sz="2" w:space="0" w:color="000000"/>
              <w:bottom w:val="single" w:sz="2" w:space="0" w:color="000000"/>
              <w:right w:val="single" w:sz="2" w:space="0" w:color="000000"/>
            </w:tcBorders>
            <w:vAlign w:val="center"/>
          </w:tcPr>
          <w:p>
            <w:pPr>
              <w:pStyle w:val="Tablecolsubhead"/>
              <w:widowControl w:val="false"/>
              <w:rPr>
                <w:sz w:val="16"/>
                <w:szCs w:val="16"/>
              </w:rPr>
            </w:pPr>
            <w:r>
              <w:rPr>
                <w:sz w:val="16"/>
                <w:szCs w:val="16"/>
              </w:rPr>
              <w:t>Table column subheading</w:t>
            </w:r>
          </w:p>
        </w:tc>
        <w:tc>
          <w:tcPr>
            <w:tcW w:w="1170" w:type="dxa"/>
            <w:tcBorders>
              <w:top w:val="single" w:sz="2" w:space="0" w:color="000000"/>
              <w:left w:val="single" w:sz="2" w:space="0" w:color="000000"/>
              <w:bottom w:val="single" w:sz="2" w:space="0" w:color="000000"/>
              <w:right w:val="single" w:sz="2" w:space="0" w:color="000000"/>
            </w:tcBorders>
            <w:vAlign w:val="center"/>
          </w:tcPr>
          <w:p>
            <w:pPr>
              <w:pStyle w:val="Tablecolsubhead"/>
              <w:widowControl w:val="false"/>
              <w:rPr>
                <w:sz w:val="16"/>
                <w:szCs w:val="16"/>
              </w:rPr>
            </w:pPr>
            <w:r>
              <w:rPr>
                <w:sz w:val="16"/>
                <w:szCs w:val="16"/>
              </w:rPr>
              <w:t>Subheading</w:t>
            </w:r>
          </w:p>
        </w:tc>
        <w:tc>
          <w:tcPr>
            <w:tcW w:w="1245" w:type="dxa"/>
            <w:tcBorders>
              <w:top w:val="single" w:sz="2" w:space="0" w:color="000000"/>
              <w:left w:val="single" w:sz="2" w:space="0" w:color="000000"/>
              <w:bottom w:val="single" w:sz="2" w:space="0" w:color="000000"/>
              <w:right w:val="single" w:sz="2" w:space="0" w:color="000000"/>
            </w:tcBorders>
            <w:vAlign w:val="center"/>
          </w:tcPr>
          <w:p>
            <w:pPr>
              <w:pStyle w:val="Tablecolsubhead"/>
              <w:widowControl w:val="false"/>
              <w:rPr>
                <w:sz w:val="16"/>
                <w:szCs w:val="16"/>
              </w:rPr>
            </w:pPr>
            <w:r>
              <w:rPr>
                <w:sz w:val="16"/>
                <w:szCs w:val="16"/>
              </w:rPr>
              <w:t>Subheading</w:t>
            </w:r>
          </w:p>
        </w:tc>
      </w:tr>
      <w:tr>
        <w:trPr>
          <w:trHeight w:val="220" w:hRule="atLeast"/>
        </w:trPr>
        <w:tc>
          <w:tcPr>
            <w:tcW w:w="987" w:type="dxa"/>
            <w:tcBorders>
              <w:top w:val="single" w:sz="2" w:space="0" w:color="000000"/>
              <w:left w:val="single" w:sz="2" w:space="0" w:color="000000"/>
              <w:bottom w:val="single" w:sz="2" w:space="0" w:color="000000"/>
              <w:right w:val="single" w:sz="2" w:space="0" w:color="000000"/>
            </w:tcBorders>
            <w:vAlign w:val="center"/>
          </w:tcPr>
          <w:p>
            <w:pPr>
              <w:pStyle w:val="Tablecopy"/>
              <w:widowControl w:val="false"/>
              <w:rPr/>
            </w:pPr>
            <w:r>
              <w:rPr/>
              <w:t>copy</w:t>
            </w:r>
          </w:p>
        </w:tc>
        <w:tc>
          <w:tcPr>
            <w:tcW w:w="1260" w:type="dxa"/>
            <w:tcBorders>
              <w:top w:val="single" w:sz="2" w:space="0" w:color="000000"/>
              <w:left w:val="single" w:sz="2" w:space="0" w:color="000000"/>
              <w:bottom w:val="single" w:sz="2" w:space="0" w:color="000000"/>
              <w:right w:val="single" w:sz="2" w:space="0" w:color="000000"/>
            </w:tcBorders>
            <w:vAlign w:val="center"/>
          </w:tcPr>
          <w:p>
            <w:pPr>
              <w:pStyle w:val="Tablecopy"/>
              <w:widowControl w:val="false"/>
              <w:rPr/>
            </w:pPr>
            <w:r>
              <w:rPr/>
              <w:t>More table copy</w:t>
            </w:r>
          </w:p>
        </w:tc>
        <w:tc>
          <w:tcPr>
            <w:tcW w:w="11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0" w:after="200"/>
              <w:rPr>
                <w:sz w:val="16"/>
                <w:szCs w:val="16"/>
              </w:rPr>
            </w:pPr>
            <w:r>
              <w:rPr>
                <w:sz w:val="16"/>
                <w:szCs w:val="16"/>
              </w:rPr>
            </w:r>
          </w:p>
        </w:tc>
        <w:tc>
          <w:tcPr>
            <w:tcW w:w="12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0" w:after="200"/>
              <w:rPr>
                <w:sz w:val="16"/>
                <w:szCs w:val="16"/>
              </w:rPr>
            </w:pPr>
            <w:r>
              <w:rPr>
                <w:sz w:val="16"/>
                <w:szCs w:val="16"/>
              </w:rPr>
            </w:r>
          </w:p>
        </w:tc>
      </w:tr>
    </w:tbl>
    <w:p>
      <w:pPr>
        <w:pStyle w:val="Normal"/>
        <w:spacing w:before="240" w:after="0"/>
        <w:jc w:val="both"/>
        <w:rPr>
          <w:rFonts w:ascii="Times New Roman" w:hAnsi="Times New Roman" w:eastAsia="Times New Roman" w:cs="Times New Roman"/>
          <w:sz w:val="20"/>
          <w:szCs w:val="20"/>
        </w:rPr>
      </w:pPr>
      <w:r/>
      <w:r>
        <w:rPr>
          <w:rFonts w:eastAsia="Times New Roman" w:cs="Times New Roman" w:ascii="Times New Roman" w:hAnsi="Times New Roman"/>
          <w:sz w:val="20"/>
          <w:szCs w:val="20"/>
        </w:rPr>
        <w:t>Tables and figures should be placed close after their first reference in the text. Figures and tables should be numbered consecutively using Arabic numerals. Table headings should be centered above the tables. Figure captions should be centered below the figures as shown in Figure 1.  The source of all tables and figures must be properly stated below the tables and figures. For figures only, use Figure 1 in the text but Fig. 1 as the figure label.</w:t>
      </w:r>
    </w:p>
    <w:p>
      <w:pPr>
        <w:pStyle w:val="Normal"/>
        <w:jc w:val="both"/>
        <w:rPr>
          <w:rFonts w:ascii="Times New Roman" w:hAnsi="Times New Roman" w:eastAsia="Times New Roman" w:cs="Times New Roman"/>
          <w:bCs/>
          <w:color w:val="000000"/>
          <w:sz w:val="20"/>
          <w:szCs w:val="20"/>
        </w:rPr>
      </w:pPr>
      <w:r>
        <w:rPr/>
        <w:drawing>
          <wp:inline distT="0" distB="0" distL="0" distR="0">
            <wp:extent cx="2910205" cy="1590675"/>
            <wp:effectExtent l="0" t="0" r="0" b="0"/>
            <wp:docPr id="3" name="Obj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Normal"/>
        <w:jc w:val="center"/>
        <w:rPr>
          <w:rFonts w:ascii="Times New Roman" w:hAnsi="Times New Roman" w:eastAsia="Times New Roman" w:cs="Times New Roman"/>
          <w:sz w:val="20"/>
          <w:szCs w:val="20"/>
        </w:rPr>
      </w:pPr>
      <w:r>
        <w:rPr>
          <w:rFonts w:eastAsia="Times New Roman" w:cs="Times New Roman" w:ascii="Times New Roman" w:hAnsi="Times New Roman"/>
          <w:bCs/>
          <w:color w:val="000000"/>
          <w:sz w:val="20"/>
          <w:szCs w:val="20"/>
        </w:rPr>
        <w:t>Fig. 1: Proportions of Energy Sources in Nigeria</w:t>
      </w:r>
    </w:p>
    <w:p>
      <w:pPr>
        <w:pStyle w:val="Heading2"/>
        <w:numPr>
          <w:ilvl w:val="1"/>
          <w:numId w:val="2"/>
        </w:numPr>
        <w:spacing w:before="240" w:after="120"/>
        <w:rPr>
          <w:sz w:val="20"/>
          <w:szCs w:val="20"/>
        </w:rPr>
      </w:pPr>
      <w:r>
        <w:rPr>
          <w:sz w:val="20"/>
          <w:szCs w:val="20"/>
        </w:rPr>
        <w:t>Equations</w:t>
      </w:r>
    </w:p>
    <w:p>
      <w:pPr>
        <w:pStyle w:val="Normal"/>
        <w:spacing w:lineRule="auto" w:line="240" w:before="120" w:after="120"/>
        <w:jc w:val="both"/>
        <w:rPr>
          <w:rFonts w:ascii="Times New Roman" w:hAnsi="Times New Roman" w:eastAsia="Times New Roman" w:cs="Times New Roman"/>
          <w:sz w:val="20"/>
          <w:szCs w:val="20"/>
        </w:rPr>
      </w:pPr>
      <w:bookmarkStart w:id="1" w:name="1fob9te"/>
      <w:bookmarkEnd w:id="1"/>
      <w:r>
        <w:rPr>
          <w:rFonts w:eastAsia="Times New Roman" w:cs="Times New Roman" w:ascii="Times New Roman" w:hAnsi="Times New Roman"/>
          <w:sz w:val="20"/>
          <w:szCs w:val="20"/>
        </w:rPr>
        <w:t>Each equation should be presented on a separate line from the text with a blank space above and below. Equations should be clear, develop using Equation Editor and expressions used should be explained in the text. Number equations consecutively.  Equation numbers, within parentheses</w:t>
      </w:r>
      <w:r>
        <w:rPr>
          <w:rFonts w:cs="Times New Roman" w:ascii="Times New Roman" w:hAnsi="Times New Roman"/>
          <w:sz w:val="24"/>
          <w:szCs w:val="24"/>
        </w:rPr>
        <w:t xml:space="preserve"> </w:t>
      </w:r>
      <w:r>
        <w:rPr>
          <w:rFonts w:eastAsia="Times New Roman" w:cs="Times New Roman" w:ascii="Times New Roman" w:hAnsi="Times New Roman"/>
          <w:sz w:val="20"/>
          <w:szCs w:val="20"/>
        </w:rPr>
        <w:t>are to position flush right, as in (1), using a right tab stop, as shown in Eqs. (1) - (3) below. Here is one example. In this case, the governing system of equations can be written as follows:</w:t>
      </w:r>
    </w:p>
    <w:p>
      <w:pPr>
        <w:pStyle w:val="Normal"/>
        <w:tabs>
          <w:tab w:val="clear" w:pos="720"/>
          <w:tab w:val="left" w:pos="8789" w:leader="none"/>
        </w:tabs>
        <w:spacing w:before="120" w:after="120"/>
        <w:jc w:val="both"/>
        <w:rPr>
          <w:rFonts w:ascii="Times New Roman" w:hAnsi="Times New Roman" w:eastAsia="Times New Roman" w:cs="Times New Roman"/>
          <w:color w:val="000000"/>
          <w:sz w:val="20"/>
          <w:szCs w:val="20"/>
        </w:rPr>
      </w:pPr>
      <w:r>
        <w:rPr>
          <w:rFonts w:eastAsia="Times New Roman" w:cs="Times New Roman" w:ascii="Times New Roman" w:hAnsi="Times New Roman"/>
          <w:sz w:val="24"/>
          <w:szCs w:val="24"/>
        </w:rPr>
        <w:t xml:space="preserve">    </w:t>
      </w:r>
      <w:r>
        <w:rPr/>
      </w:r>
      <m:oMath xmlns:m="http://schemas.openxmlformats.org/officeDocument/2006/math">
        <m:sSub>
          <m:e>
            <m:r>
              <w:rPr>
                <w:rFonts w:ascii="Cambria Math" w:hAnsi="Cambria Math"/>
              </w:rPr>
              <m:t xml:space="preserve">C</m:t>
            </m:r>
          </m:e>
          <m:sub>
            <m:r>
              <w:rPr>
                <w:rFonts w:ascii="Cambria Math" w:hAnsi="Cambria Math"/>
              </w:rPr>
              <m:t xml:space="preserve">i</m:t>
            </m:r>
          </m:sub>
        </m:sSub>
        <m:d>
          <m:dPr>
            <m:begChr m:val="("/>
            <m:endChr m:val=")"/>
          </m:dPr>
          <m:e>
            <m:sSub>
              <m:e>
                <m:r>
                  <w:rPr>
                    <w:rFonts w:ascii="Cambria Math" w:hAnsi="Cambria Math"/>
                  </w:rPr>
                  <m:t xml:space="preserve">p</m:t>
                </m:r>
              </m:e>
              <m:sub>
                <m:r>
                  <w:rPr>
                    <w:rFonts w:ascii="Cambria Math" w:hAnsi="Cambria Math"/>
                  </w:rPr>
                  <m:t xml:space="preserve">i</m:t>
                </m:r>
              </m:sub>
            </m:sSub>
          </m:e>
        </m:d>
        <m:r>
          <w:rPr>
            <w:rFonts w:ascii="Cambria Math" w:hAnsi="Cambria Math"/>
          </w:rPr>
          <m:t xml:space="preserve">=</m:t>
        </m:r>
        <m:sSub>
          <m:e>
            <m:r>
              <w:rPr>
                <w:rFonts w:ascii="Cambria Math" w:hAnsi="Cambria Math"/>
              </w:rPr>
              <m:t xml:space="preserve">α</m:t>
            </m:r>
          </m:e>
          <m:sub>
            <m:r>
              <w:rPr>
                <w:rFonts w:ascii="Cambria Math" w:hAnsi="Cambria Math"/>
              </w:rPr>
              <m:t xml:space="preserve">i</m:t>
            </m:r>
          </m:sub>
        </m:sSub>
        <m:r>
          <w:rPr>
            <w:rFonts w:ascii="Cambria Math" w:hAnsi="Cambria Math"/>
          </w:rPr>
          <m:t xml:space="preserve">+</m:t>
        </m:r>
        <m:sSub>
          <m:e>
            <m:r>
              <w:rPr>
                <w:rFonts w:ascii="Cambria Math" w:hAnsi="Cambria Math"/>
              </w:rPr>
              <m:t xml:space="preserve">β</m:t>
            </m:r>
          </m:e>
          <m:sub>
            <m:r>
              <w:rPr>
                <w:rFonts w:ascii="Cambria Math" w:hAnsi="Cambria Math"/>
              </w:rPr>
              <m:t xml:space="preserve">i</m:t>
            </m:r>
          </m:sub>
        </m:sSub>
        <m:sSub>
          <m:e>
            <m:r>
              <w:rPr>
                <w:rFonts w:ascii="Cambria Math" w:hAnsi="Cambria Math"/>
              </w:rPr>
              <m:t xml:space="preserve">p</m:t>
            </m:r>
          </m:e>
          <m:sub>
            <m:r>
              <w:rPr>
                <w:rFonts w:ascii="Cambria Math" w:hAnsi="Cambria Math"/>
              </w:rPr>
              <m:t xml:space="preserve">i</m:t>
            </m:r>
          </m:sub>
        </m:sSub>
        <m:r>
          <w:rPr>
            <w:rFonts w:ascii="Cambria Math" w:hAnsi="Cambria Math"/>
          </w:rPr>
          <m:t xml:space="preserve">+</m:t>
        </m:r>
        <m:sSub>
          <m:e>
            <m:r>
              <w:rPr>
                <w:rFonts w:ascii="Cambria Math" w:hAnsi="Cambria Math"/>
              </w:rPr>
              <m:t xml:space="preserve">γ</m:t>
            </m:r>
          </m:e>
          <m:sub>
            <m:r>
              <w:rPr>
                <w:rFonts w:ascii="Cambria Math" w:hAnsi="Cambria Math"/>
              </w:rPr>
              <m:t xml:space="preserve">i</m:t>
            </m:r>
          </m:sub>
        </m:sSub>
        <m:sSubSup>
          <m:e>
            <m:r>
              <w:rPr>
                <w:rFonts w:ascii="Cambria Math" w:hAnsi="Cambria Math"/>
              </w:rPr>
              <m:t xml:space="preserve">p</m:t>
            </m:r>
          </m:e>
          <m:sub>
            <m:r>
              <w:rPr>
                <w:rFonts w:ascii="Cambria Math" w:hAnsi="Cambria Math"/>
              </w:rPr>
              <m:t xml:space="preserve">i</m:t>
            </m:r>
          </m:sub>
          <m:sup>
            <m:r>
              <w:rPr>
                <w:rFonts w:ascii="Cambria Math" w:hAnsi="Cambria Math"/>
              </w:rPr>
              <m:t xml:space="preserve">2</m:t>
            </m:r>
          </m:sup>
        </m:sSubSup>
      </m:oMath>
      <w:r>
        <w:rPr>
          <w:rFonts w:eastAsia="宋体" w:cs="Times New Roman" w:ascii="Times New Roman" w:hAnsi="Times New Roman" w:eastAsiaTheme="minorEastAsia"/>
          <w:sz w:val="24"/>
          <w:szCs w:val="24"/>
        </w:rPr>
        <w:t>.</w:t>
      </w:r>
      <w:r>
        <w:rPr>
          <w:rFonts w:cs="Times New Roman" w:ascii="Times New Roman" w:hAnsi="Times New Roman"/>
          <w:sz w:val="24"/>
          <w:szCs w:val="24"/>
        </w:rPr>
        <w:t xml:space="preserve">                </w:t>
      </w:r>
      <w:r>
        <w:rPr>
          <w:rFonts w:eastAsia="Times New Roman" w:cs="Times New Roman" w:ascii="Times New Roman" w:hAnsi="Times New Roman"/>
          <w:color w:val="000000"/>
          <w:sz w:val="20"/>
          <w:szCs w:val="20"/>
        </w:rPr>
        <w:t>(1)</w:t>
      </w:r>
    </w:p>
    <w:p>
      <w:pPr>
        <w:pStyle w:val="Normal"/>
        <w:tabs>
          <w:tab w:val="clear" w:pos="720"/>
          <w:tab w:val="left" w:pos="8789" w:leader="none"/>
        </w:tabs>
        <w:spacing w:before="120" w:after="120"/>
        <w:jc w:val="both"/>
        <w:rPr>
          <w:rFonts w:ascii="Times New Roman" w:hAnsi="Times New Roman" w:eastAsia="Times New Roman" w:cs="Times New Roman"/>
          <w:color w:val="000000"/>
          <w:sz w:val="20"/>
          <w:szCs w:val="20"/>
        </w:rPr>
      </w:pPr>
      <w:r>
        <w:rPr>
          <w:rFonts w:eastAsia="Times New Roman" w:cs="Times New Roman" w:ascii="Times New Roman" w:hAnsi="Times New Roman"/>
          <w:sz w:val="24"/>
          <w:szCs w:val="24"/>
        </w:rPr>
        <w:t xml:space="preserve">    </w:t>
      </w:r>
      <w:r>
        <w:rPr/>
      </w:r>
      <m:oMath xmlns:m="http://schemas.openxmlformats.org/officeDocument/2006/math">
        <m:bar>
          <m:barPr>
            <m:pos m:val="bot"/>
          </m:barPr>
          <m:e>
            <m:sSub>
              <m:e>
                <m:r>
                  <w:rPr>
                    <w:rFonts w:ascii="Cambria Math" w:hAnsi="Cambria Math"/>
                  </w:rPr>
                  <m:t xml:space="preserve">p</m:t>
                </m:r>
              </m:e>
              <m:sub>
                <m:r>
                  <w:rPr>
                    <w:rFonts w:ascii="Cambria Math" w:hAnsi="Cambria Math"/>
                  </w:rPr>
                  <m:t xml:space="preserve">gi</m:t>
                </m:r>
              </m:sub>
            </m:sSub>
          </m:e>
        </m:bar>
        <m:r>
          <w:rPr>
            <w:rFonts w:ascii="Cambria Math" w:hAnsi="Cambria Math"/>
          </w:rPr>
          <m:t xml:space="preserve">≤</m:t>
        </m:r>
        <m:sSub>
          <m:e>
            <m:r>
              <w:rPr>
                <w:rFonts w:ascii="Cambria Math" w:hAnsi="Cambria Math"/>
              </w:rPr>
              <m:t xml:space="preserve">p</m:t>
            </m:r>
          </m:e>
          <m:sub>
            <m:r>
              <w:rPr>
                <w:rFonts w:ascii="Cambria Math" w:hAnsi="Cambria Math"/>
              </w:rPr>
              <m:t xml:space="preserve">gi</m:t>
            </m:r>
          </m:sub>
        </m:sSub>
        <m:r>
          <w:rPr>
            <w:rFonts w:ascii="Cambria Math" w:hAnsi="Cambria Math"/>
          </w:rPr>
          <m:t xml:space="preserve">≤</m:t>
        </m:r>
        <m:bar>
          <m:barPr>
            <m:pos m:val="top"/>
          </m:barPr>
          <m:e>
            <m:sSub>
              <m:e>
                <m:r>
                  <w:rPr>
                    <w:rFonts w:ascii="Cambria Math" w:hAnsi="Cambria Math"/>
                  </w:rPr>
                  <m:t xml:space="preserve">p</m:t>
                </m:r>
              </m:e>
              <m:sub>
                <m:r>
                  <w:rPr>
                    <w:rFonts w:ascii="Cambria Math" w:hAnsi="Cambria Math"/>
                  </w:rPr>
                  <m:t xml:space="preserve">gi</m:t>
                </m:r>
              </m:sub>
            </m:sSub>
          </m:e>
        </m:bar>
        <m:r>
          <w:rPr>
            <w:rFonts w:ascii="Cambria Math" w:hAnsi="Cambria Math"/>
          </w:rPr>
          <m:t xml:space="preserve">i</m:t>
        </m:r>
        <m:r>
          <w:rPr>
            <w:rFonts w:ascii="Cambria Math" w:hAnsi="Cambria Math"/>
          </w:rPr>
          <m:t xml:space="preserve">=</m:t>
        </m:r>
        <m:r>
          <w:rPr>
            <w:rFonts w:ascii="Cambria Math" w:hAnsi="Cambria Math"/>
          </w:rPr>
          <m:t xml:space="preserve">1</m:t>
        </m:r>
        <m:r>
          <w:rPr>
            <w:rFonts w:ascii="Cambria Math" w:hAnsi="Cambria Math"/>
          </w:rPr>
          <m:t xml:space="preserve">,</m:t>
        </m:r>
        <m:r>
          <w:rPr>
            <w:rFonts w:ascii="Cambria Math" w:hAnsi="Cambria Math"/>
          </w:rPr>
          <m:t xml:space="preserve">…</m:t>
        </m:r>
        <m:r>
          <w:rPr>
            <w:rFonts w:ascii="Cambria Math" w:hAnsi="Cambria Math"/>
          </w:rPr>
          <m:t xml:space="preserve">.</m:t>
        </m:r>
        <m:sSub>
          <m:e>
            <m:r>
              <w:rPr>
                <w:rFonts w:ascii="Cambria Math" w:hAnsi="Cambria Math"/>
              </w:rPr>
              <m:t xml:space="preserve">n</m:t>
            </m:r>
          </m:e>
          <m:sub>
            <m:r>
              <w:rPr>
                <w:rFonts w:ascii="Cambria Math" w:hAnsi="Cambria Math"/>
              </w:rPr>
              <m:t xml:space="preserve">g</m:t>
            </m:r>
          </m:sub>
        </m:sSub>
      </m:oMath>
      <w:r>
        <w:rPr>
          <w:rFonts w:eastAsia="Times New Roman" w:cs="Times New Roman" w:ascii="Times New Roman" w:hAnsi="Times New Roman"/>
          <w:sz w:val="24"/>
          <w:szCs w:val="24"/>
        </w:rPr>
        <w:t xml:space="preserve">       </w:t>
      </w:r>
      <w:r>
        <w:rPr>
          <w:rFonts w:eastAsia="Times New Roman" w:cs="Times New Roman" w:ascii="Times New Roman" w:hAnsi="Times New Roman"/>
          <w:color w:val="000000"/>
          <w:sz w:val="20"/>
          <w:szCs w:val="20"/>
        </w:rPr>
        <w:t>(2)</w:t>
      </w:r>
    </w:p>
    <w:p>
      <w:pPr>
        <w:pStyle w:val="Normal"/>
        <w:tabs>
          <w:tab w:val="clear" w:pos="720"/>
          <w:tab w:val="left" w:pos="8789" w:leader="none"/>
        </w:tabs>
        <w:spacing w:before="120" w:after="120"/>
        <w:jc w:val="both"/>
        <w:rPr>
          <w:rFonts w:ascii="Times New Roman" w:hAnsi="Times New Roman" w:eastAsia="Times New Roman" w:cs="Times New Roman"/>
          <w:color w:val="000000"/>
          <w:sz w:val="20"/>
          <w:szCs w:val="20"/>
        </w:rPr>
      </w:pPr>
      <w:r>
        <w:rPr>
          <w:rFonts w:eastAsia="Times New Roman" w:cs="Times New Roman" w:ascii="Times New Roman" w:hAnsi="Times New Roman"/>
          <w:sz w:val="24"/>
          <w:szCs w:val="24"/>
        </w:rPr>
        <w:t xml:space="preserve">    </w:t>
      </w:r>
      <w:r>
        <w:rPr/>
      </w:r>
      <m:oMath xmlns:m="http://schemas.openxmlformats.org/officeDocument/2006/math">
        <m:nary>
          <m:naryPr>
            <m:chr m:val="∑"/>
            <m:supHide m:val="1"/>
          </m:naryPr>
          <m:sub>
            <m:r>
              <w:rPr>
                <w:rFonts w:ascii="Cambria Math" w:hAnsi="Cambria Math"/>
              </w:rPr>
              <m:t xml:space="preserve">i</m:t>
            </m:r>
          </m:sub>
          <m:sup/>
          <m:e>
            <m:sSub>
              <m:e>
                <m:r>
                  <w:rPr>
                    <w:rFonts w:ascii="Cambria Math" w:hAnsi="Cambria Math"/>
                  </w:rPr>
                  <m:t xml:space="preserve">p</m:t>
                </m:r>
              </m:e>
              <m:sub>
                <m:r>
                  <w:rPr>
                    <w:rFonts w:ascii="Cambria Math" w:hAnsi="Cambria Math"/>
                  </w:rPr>
                  <m:t xml:space="preserve">gi</m:t>
                </m:r>
              </m:sub>
            </m:sSub>
            <m:r>
              <w:rPr>
                <w:rFonts w:ascii="Cambria Math" w:hAnsi="Cambria Math"/>
              </w:rPr>
              <m:t xml:space="preserve">=</m:t>
            </m:r>
            <m:sSub>
              <m:e>
                <m:r>
                  <w:rPr>
                    <w:rFonts w:ascii="Cambria Math" w:hAnsi="Cambria Math"/>
                  </w:rPr>
                  <m:t xml:space="preserve">p</m:t>
                </m:r>
              </m:e>
              <m:sub>
                <m:r>
                  <w:rPr>
                    <w:rFonts w:ascii="Cambria Math" w:hAnsi="Cambria Math"/>
                  </w:rPr>
                  <m:t xml:space="preserve">D</m:t>
                </m:r>
              </m:sub>
            </m:sSub>
            <m:r>
              <w:rPr>
                <w:rFonts w:ascii="Cambria Math" w:hAnsi="Cambria Math"/>
              </w:rPr>
              <m:t xml:space="preserve">−</m:t>
            </m:r>
            <m:sSub>
              <m:e>
                <m:r>
                  <w:rPr>
                    <w:rFonts w:ascii="Cambria Math" w:hAnsi="Cambria Math"/>
                  </w:rPr>
                  <m:t xml:space="preserve">P</m:t>
                </m:r>
              </m:e>
              <m:sub>
                <m:r>
                  <w:rPr>
                    <w:rFonts w:ascii="Cambria Math" w:hAnsi="Cambria Math"/>
                  </w:rPr>
                  <m:t xml:space="preserve">L</m:t>
                </m:r>
              </m:sub>
            </m:sSub>
          </m:e>
        </m:nary>
      </m:oMath>
      <w:r>
        <w:rPr>
          <w:rFonts w:eastAsia="Times New Roman" w:cs="Times New Roman" w:ascii="Times New Roman" w:hAnsi="Times New Roman"/>
          <w:sz w:val="24"/>
          <w:szCs w:val="24"/>
        </w:rPr>
        <w:t xml:space="preserve">                                </w:t>
      </w:r>
      <w:r>
        <w:rPr>
          <w:rFonts w:eastAsia="Times New Roman" w:cs="Times New Roman" w:ascii="Times New Roman" w:hAnsi="Times New Roman"/>
          <w:color w:val="000000"/>
          <w:sz w:val="20"/>
          <w:szCs w:val="20"/>
        </w:rPr>
        <w:t>(3)</w:t>
      </w:r>
    </w:p>
    <w:p>
      <w:pPr>
        <w:pStyle w:val="ListParagraph"/>
        <w:numPr>
          <w:ilvl w:val="0"/>
          <w:numId w:val="2"/>
        </w:numPr>
        <w:jc w:val="both"/>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 xml:space="preserve">CONCLUSION </w:t>
      </w:r>
    </w:p>
    <w:p>
      <w:pPr>
        <w:pStyle w:val="Normal"/>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t>This is a short summary of the research work.</w:t>
      </w:r>
    </w:p>
    <w:p>
      <w:pPr>
        <w:pStyle w:val="Heading1"/>
        <w:numPr>
          <w:ilvl w:val="0"/>
          <w:numId w:val="2"/>
        </w:numPr>
        <w:jc w:val="both"/>
        <w:rPr>
          <w:sz w:val="20"/>
          <w:szCs w:val="20"/>
        </w:rPr>
      </w:pPr>
      <w:r>
        <w:rPr>
          <w:sz w:val="20"/>
          <w:szCs w:val="20"/>
        </w:rPr>
        <w:t>ACKNOWLEDGEMENTS (OPTIONAL)</w:t>
      </w:r>
    </w:p>
    <w:p>
      <w:pPr>
        <w:pStyle w:val="Normal"/>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t>Provide a short acknowledgement on sponsorship and financial support. The contributions of other colleagues who are not included in the authorship of the paper can also be acknowledged. If no acknowledgement is necessary, this section should not appear in the paper.</w:t>
      </w:r>
    </w:p>
    <w:p>
      <w:pPr>
        <w:pStyle w:val="TextBody"/>
        <w:ind w:left="510" w:hanging="0"/>
        <w:rPr/>
      </w:pPr>
      <w:r>
        <w:rPr/>
        <w:t>This is an example of acknowledgement:</w:t>
      </w:r>
    </w:p>
    <w:p>
      <w:pPr>
        <w:pStyle w:val="TextBody"/>
        <w:ind w:left="510" w:hanging="0"/>
        <w:rPr>
          <w:rFonts w:eastAsia="MS Mincho"/>
        </w:rPr>
      </w:pPr>
      <w:r>
        <w:rPr/>
        <w:t>The authors gratefully acknowledge the contributions of T. Edison, G. Westinghouse, N. Tesla, A. Volta and A. Ampere to the electric power industry.</w:t>
      </w:r>
    </w:p>
    <w:p>
      <w:pPr>
        <w:pStyle w:val="Heading1"/>
        <w:spacing w:before="240" w:after="120"/>
        <w:jc w:val="both"/>
        <w:rPr>
          <w:sz w:val="20"/>
          <w:szCs w:val="20"/>
        </w:rPr>
      </w:pPr>
      <w:r>
        <w:rPr>
          <w:sz w:val="20"/>
          <w:szCs w:val="20"/>
        </w:rPr>
        <w:t>5.</w:t>
        <w:tab/>
      </w:r>
      <w:r>
        <w:rPr>
          <w:sz w:val="24"/>
          <w:szCs w:val="20"/>
        </w:rPr>
        <w:t>Full Paper</w:t>
      </w:r>
      <w:r>
        <w:rPr>
          <w:sz w:val="28"/>
          <w:szCs w:val="20"/>
        </w:rPr>
        <w:t xml:space="preserve"> Submission</w:t>
      </w:r>
    </w:p>
    <w:p>
      <w:pPr>
        <w:pStyle w:val="Normal"/>
        <w:rPr>
          <w:rFonts w:ascii="Times New Roman" w:hAnsi="Times New Roman" w:cs="Times New Roman"/>
          <w:i/>
          <w:i/>
          <w:iCs/>
          <w:sz w:val="20"/>
          <w:szCs w:val="20"/>
        </w:rPr>
      </w:pPr>
      <w:r>
        <w:rPr>
          <w:rFonts w:eastAsia="Times New Roman" w:cs="Times New Roman" w:ascii="Times New Roman" w:hAnsi="Times New Roman"/>
          <w:sz w:val="20"/>
          <w:szCs w:val="20"/>
        </w:rPr>
        <w:t>The full paper in MS Word format should be submitted electronically to the journal email:</w:t>
      </w:r>
      <w:r>
        <w:rPr>
          <w:rFonts w:eastAsia="Times New Roman" w:cs="Times New Roman" w:ascii="Times New Roman" w:hAnsi="Times New Roman"/>
          <w:color w:val="0000FF"/>
          <w:sz w:val="20"/>
          <w:szCs w:val="20"/>
          <w:u w:val="single"/>
        </w:rPr>
        <w:t xml:space="preserve"> </w:t>
      </w:r>
      <w:r>
        <w:rPr>
          <w:rFonts w:cs="Times New Roman" w:ascii="Times New Roman" w:hAnsi="Times New Roman"/>
          <w:i/>
          <w:iCs/>
          <w:sz w:val="20"/>
          <w:szCs w:val="20"/>
        </w:rPr>
        <w:t xml:space="preserve">fpisejournal@federalpolyilaro.edu.ng </w:t>
      </w:r>
    </w:p>
    <w:p>
      <w:pPr>
        <w:pStyle w:val="Normal"/>
        <w:keepNext w:val="true"/>
        <w:spacing w:lineRule="auto" w:line="240" w:before="240" w:after="120"/>
        <w:ind w:left="510" w:hanging="510"/>
        <w:rPr>
          <w:rFonts w:ascii="Times New Roman" w:hAnsi="Times New Roman" w:eastAsia="Times New Roman" w:cs="Times New Roman"/>
          <w:b/>
          <w:b/>
          <w:smallCaps/>
          <w:color w:val="000000"/>
          <w:sz w:val="20"/>
          <w:szCs w:val="20"/>
        </w:rPr>
      </w:pPr>
      <w:bookmarkStart w:id="2" w:name="_3znysh7"/>
      <w:bookmarkEnd w:id="2"/>
      <w:r>
        <w:rPr>
          <w:rFonts w:eastAsia="Times New Roman" w:cs="Times New Roman" w:ascii="Times New Roman" w:hAnsi="Times New Roman"/>
          <w:b/>
          <w:smallCaps/>
          <w:color w:val="000000"/>
          <w:sz w:val="20"/>
          <w:szCs w:val="20"/>
        </w:rPr>
        <w:t>REFERENCES</w:t>
      </w:r>
    </w:p>
    <w:p>
      <w:pPr>
        <w:pStyle w:val="Normal"/>
        <w:spacing w:lineRule="auto" w:line="240" w:before="0" w:after="0"/>
        <w:ind w:left="357" w:hanging="357"/>
        <w:jc w:val="both"/>
        <w:rPr>
          <w:rFonts w:ascii="Times New Roman" w:hAnsi="Times New Roman" w:eastAsia="Times New Roman" w:cs="Times New Roman"/>
          <w:b/>
          <w:b/>
          <w:color w:val="000000"/>
          <w:sz w:val="20"/>
          <w:szCs w:val="20"/>
        </w:rPr>
      </w:pPr>
      <w:r>
        <w:rPr>
          <w:rFonts w:eastAsia="Times New Roman" w:cs="Times New Roman" w:ascii="Times New Roman" w:hAnsi="Times New Roman"/>
          <w:b/>
          <w:color w:val="000000"/>
          <w:sz w:val="20"/>
          <w:szCs w:val="20"/>
        </w:rPr>
        <w:t>Journals</w:t>
      </w:r>
    </w:p>
    <w:p>
      <w:pPr>
        <w:pStyle w:val="Normal"/>
        <w:spacing w:lineRule="auto" w:line="240" w:before="0" w:after="0"/>
        <w:ind w:left="357" w:hanging="357"/>
        <w:jc w:val="both"/>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Risholt, B., &amp; Berker, T. (2013). Success for energy efficient renovation of dwellings – Learning from private</w:t>
      </w:r>
    </w:p>
    <w:p>
      <w:pPr>
        <w:pStyle w:val="Normal"/>
        <w:spacing w:lineRule="auto" w:line="240" w:before="0" w:after="0"/>
        <w:ind w:left="357" w:hanging="510"/>
        <w:jc w:val="both"/>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homeowners. Energy Policy, 61, 1022–1030.</w:t>
      </w:r>
    </w:p>
    <w:p>
      <w:pPr>
        <w:pStyle w:val="Normal"/>
        <w:spacing w:lineRule="auto" w:line="240" w:before="0" w:after="0"/>
        <w:ind w:left="357" w:hanging="357"/>
        <w:jc w:val="both"/>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p>
      <w:pPr>
        <w:pStyle w:val="Normal"/>
        <w:spacing w:lineRule="auto" w:line="240" w:before="0" w:after="0"/>
        <w:ind w:left="357" w:hanging="357"/>
        <w:jc w:val="both"/>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Kastner, I., &amp; Stern, P. (2015). Examining the decision-making processes behind household energy investments:</w:t>
      </w:r>
    </w:p>
    <w:p>
      <w:pPr>
        <w:pStyle w:val="Normal"/>
        <w:spacing w:lineRule="auto" w:line="240" w:before="0" w:after="0"/>
        <w:ind w:left="357" w:hanging="510"/>
        <w:jc w:val="both"/>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 review. Energy Research &amp; Social Science, 10(3), 72–89.</w:t>
      </w:r>
    </w:p>
    <w:p>
      <w:pPr>
        <w:pStyle w:val="Normal"/>
        <w:spacing w:lineRule="auto" w:line="240" w:before="0" w:after="0"/>
        <w:ind w:left="357" w:hanging="357"/>
        <w:jc w:val="both"/>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p>
      <w:pPr>
        <w:pStyle w:val="Normal"/>
        <w:spacing w:lineRule="auto" w:line="240" w:before="0" w:after="0"/>
        <w:ind w:left="357" w:hanging="357"/>
        <w:jc w:val="both"/>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p>
      <w:pPr>
        <w:pStyle w:val="Normal"/>
        <w:spacing w:lineRule="auto" w:line="240" w:before="0" w:after="0"/>
        <w:ind w:left="357" w:hanging="357"/>
        <w:jc w:val="both"/>
        <w:rPr>
          <w:rFonts w:ascii="Times New Roman" w:hAnsi="Times New Roman" w:eastAsia="Times New Roman" w:cs="Times New Roman"/>
          <w:b/>
          <w:b/>
          <w:color w:val="000000"/>
          <w:sz w:val="20"/>
          <w:szCs w:val="20"/>
        </w:rPr>
      </w:pPr>
      <w:r>
        <w:rPr>
          <w:rFonts w:eastAsia="Times New Roman" w:cs="Times New Roman" w:ascii="Times New Roman" w:hAnsi="Times New Roman"/>
          <w:b/>
          <w:color w:val="000000"/>
          <w:sz w:val="20"/>
          <w:szCs w:val="20"/>
        </w:rPr>
        <w:t>Books</w:t>
      </w:r>
    </w:p>
    <w:p>
      <w:pPr>
        <w:pStyle w:val="Normal"/>
        <w:spacing w:lineRule="auto" w:line="240" w:before="0" w:after="0"/>
        <w:ind w:left="357" w:hanging="357"/>
        <w:jc w:val="both"/>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Clarke E.(1998). </w:t>
      </w:r>
      <w:r>
        <w:rPr>
          <w:rFonts w:eastAsia="Times New Roman" w:cs="Times New Roman" w:ascii="Times New Roman" w:hAnsi="Times New Roman"/>
          <w:i/>
          <w:color w:val="000000"/>
          <w:sz w:val="20"/>
          <w:szCs w:val="20"/>
        </w:rPr>
        <w:t>Circuit Analysis of AC Power Systems</w:t>
      </w:r>
      <w:r>
        <w:rPr>
          <w:rFonts w:eastAsia="Times New Roman" w:cs="Times New Roman" w:ascii="Times New Roman" w:hAnsi="Times New Roman"/>
          <w:color w:val="000000"/>
          <w:sz w:val="20"/>
          <w:szCs w:val="20"/>
        </w:rPr>
        <w:t xml:space="preserve">, vol. I.  New York: Wiley, 1950, p. 81.  </w:t>
      </w:r>
    </w:p>
    <w:p>
      <w:pPr>
        <w:pStyle w:val="Normal"/>
        <w:spacing w:lineRule="auto" w:line="240" w:before="0" w:after="0"/>
        <w:ind w:left="357" w:hanging="357"/>
        <w:jc w:val="both"/>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p>
      <w:pPr>
        <w:pStyle w:val="Normal"/>
        <w:spacing w:lineRule="auto" w:line="240" w:before="0" w:after="0"/>
        <w:ind w:left="357" w:hanging="357"/>
        <w:jc w:val="both"/>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Young G. O. &amp; Anton, B. G. (2001)., "Synthetic structure of industrial plastics," in </w:t>
      </w:r>
      <w:r>
        <w:rPr>
          <w:rFonts w:eastAsia="Times New Roman" w:cs="Times New Roman" w:ascii="Times New Roman" w:hAnsi="Times New Roman"/>
          <w:i/>
          <w:color w:val="000000"/>
          <w:sz w:val="20"/>
          <w:szCs w:val="20"/>
        </w:rPr>
        <w:t>Plastics</w:t>
      </w:r>
      <w:r>
        <w:rPr>
          <w:rFonts w:eastAsia="Times New Roman" w:cs="Times New Roman" w:ascii="Times New Roman" w:hAnsi="Times New Roman"/>
          <w:color w:val="000000"/>
          <w:sz w:val="20"/>
          <w:szCs w:val="20"/>
        </w:rPr>
        <w:t>, 2nd ed., vol. 3, J. Peters, Ed.  New York: McGraw-Hill, 1964, pp. 15-64.</w:t>
      </w:r>
    </w:p>
    <w:p>
      <w:pPr>
        <w:pStyle w:val="Normal"/>
        <w:spacing w:lineRule="auto" w:line="240" w:before="0" w:after="0"/>
        <w:ind w:left="357" w:hanging="357"/>
        <w:jc w:val="both"/>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p>
      <w:pPr>
        <w:pStyle w:val="Normal"/>
        <w:spacing w:lineRule="auto" w:line="240" w:before="0" w:after="0"/>
        <w:ind w:left="357" w:hanging="357"/>
        <w:jc w:val="both"/>
        <w:rPr>
          <w:rFonts w:ascii="Times New Roman" w:hAnsi="Times New Roman" w:eastAsia="Times New Roman" w:cs="Times New Roman"/>
          <w:b/>
          <w:b/>
          <w:color w:val="000000"/>
          <w:sz w:val="20"/>
          <w:szCs w:val="20"/>
        </w:rPr>
      </w:pPr>
      <w:r>
        <w:rPr>
          <w:rFonts w:eastAsia="Times New Roman" w:cs="Times New Roman" w:ascii="Times New Roman" w:hAnsi="Times New Roman"/>
          <w:b/>
          <w:color w:val="000000"/>
          <w:sz w:val="20"/>
          <w:szCs w:val="20"/>
        </w:rPr>
        <w:t>Chapter Contribution in a Book</w:t>
      </w:r>
    </w:p>
    <w:p>
      <w:pPr>
        <w:pStyle w:val="Normal"/>
        <w:spacing w:lineRule="auto" w:line="240" w:before="0" w:after="0"/>
        <w:ind w:left="357" w:hanging="357"/>
        <w:jc w:val="both"/>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Hoskins, S. P., Shyr, D., &amp; Shyr, Y. (2017). Sample Size Calculation for Differential Expression Analysis of RNA-Seq Data. In </w:t>
      </w:r>
      <w:r>
        <w:rPr>
          <w:rFonts w:eastAsia="Times New Roman" w:cs="Times New Roman" w:ascii="Times New Roman" w:hAnsi="Times New Roman"/>
          <w:i/>
          <w:color w:val="000000"/>
          <w:sz w:val="20"/>
          <w:szCs w:val="20"/>
        </w:rPr>
        <w:t>Frontiers of Biostatistical Methods and Applications in Clinical Oncology</w:t>
      </w:r>
      <w:r>
        <w:rPr>
          <w:rFonts w:eastAsia="Times New Roman" w:cs="Times New Roman" w:ascii="Times New Roman" w:hAnsi="Times New Roman"/>
          <w:color w:val="000000"/>
          <w:sz w:val="20"/>
          <w:szCs w:val="20"/>
        </w:rPr>
        <w:t xml:space="preserve"> (pp. 359-379), Springer, Singapore.</w:t>
      </w:r>
    </w:p>
    <w:p>
      <w:pPr>
        <w:pStyle w:val="Normal"/>
        <w:spacing w:lineRule="auto" w:line="240" w:before="0" w:after="0"/>
        <w:ind w:left="357" w:hanging="357"/>
        <w:jc w:val="both"/>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p>
      <w:pPr>
        <w:pStyle w:val="Text"/>
        <w:ind w:left="510" w:hanging="0"/>
        <w:rPr>
          <w:b/>
          <w:b/>
        </w:rPr>
      </w:pPr>
      <w:r>
        <w:rPr>
          <w:b/>
        </w:rPr>
        <w:t>Papers from Conference Proceedings (Published):</w:t>
      </w:r>
    </w:p>
    <w:p>
      <w:pPr>
        <w:pStyle w:val="References"/>
        <w:numPr>
          <w:ilvl w:val="0"/>
          <w:numId w:val="1"/>
        </w:numPr>
        <w:tabs>
          <w:tab w:val="clear" w:pos="720"/>
        </w:tabs>
        <w:ind w:left="400" w:hanging="400"/>
        <w:rPr>
          <w:sz w:val="20"/>
        </w:rPr>
      </w:pPr>
      <w:r>
        <w:rPr>
          <w:sz w:val="20"/>
        </w:rPr>
        <w:t xml:space="preserve">Alqueres, J. L. &amp; Praca, J. C.(2006) "The Brazilian power system and the challenge of the Amazon transmission," in </w:t>
      </w:r>
      <w:r>
        <w:rPr>
          <w:i/>
          <w:sz w:val="20"/>
        </w:rPr>
        <w:t>Proceedings of IEEE Power Engineering Society Transmission and Distribution Conf.</w:t>
      </w:r>
      <w:r>
        <w:rPr>
          <w:sz w:val="20"/>
        </w:rPr>
        <w:t xml:space="preserve">, pp. 315-320. </w:t>
      </w:r>
    </w:p>
    <w:p>
      <w:pPr>
        <w:pStyle w:val="Normal"/>
        <w:spacing w:lineRule="auto" w:line="240" w:before="0" w:after="0"/>
        <w:ind w:left="357" w:hanging="357"/>
        <w:jc w:val="both"/>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p>
      <w:pPr>
        <w:pStyle w:val="Normal"/>
        <w:spacing w:lineRule="auto" w:line="240" w:before="0" w:after="0"/>
        <w:ind w:left="357" w:hanging="357"/>
        <w:jc w:val="both"/>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p>
      <w:pPr>
        <w:pStyle w:val="Normal"/>
        <w:spacing w:lineRule="auto" w:line="240" w:before="0" w:after="0"/>
        <w:ind w:left="357" w:hanging="357"/>
        <w:jc w:val="both"/>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p>
      <w:pPr>
        <w:pStyle w:val="Normal"/>
        <w:spacing w:lineRule="auto" w:line="240" w:before="0" w:after="0"/>
        <w:jc w:val="both"/>
        <w:rPr>
          <w:rFonts w:ascii="Times New Roman" w:hAnsi="Times New Roman" w:eastAsia="Times New Roman" w:cs="Times New Roman"/>
          <w:b/>
          <w:b/>
          <w:color w:val="000000"/>
          <w:sz w:val="20"/>
          <w:szCs w:val="20"/>
        </w:rPr>
      </w:pPr>
      <w:r>
        <w:rPr>
          <w:rFonts w:eastAsia="Times New Roman" w:cs="Times New Roman" w:ascii="Times New Roman" w:hAnsi="Times New Roman"/>
          <w:b/>
          <w:color w:val="000000"/>
          <w:sz w:val="20"/>
          <w:szCs w:val="20"/>
        </w:rPr>
        <w:t>Web Reference</w:t>
      </w:r>
    </w:p>
    <w:p>
      <w:pPr>
        <w:pStyle w:val="Normal"/>
        <w:rPr>
          <w:rFonts w:ascii="Times New Roman" w:hAnsi="Times New Roman" w:cs="Times New Roman"/>
          <w:sz w:val="20"/>
          <w:szCs w:val="20"/>
        </w:rPr>
      </w:pPr>
      <w:r>
        <w:rPr>
          <w:rFonts w:cs="Times New Roman" w:ascii="Times New Roman" w:hAnsi="Times New Roman"/>
          <w:sz w:val="20"/>
          <w:szCs w:val="20"/>
        </w:rPr>
        <w:t>MNL. (2012, December 10). Microsoft Nigerian Limited.    http://www.mnl.com/subdeansrate.</w:t>
      </w:r>
    </w:p>
    <w:p>
      <w:pPr>
        <w:pStyle w:val="Normal"/>
        <w:spacing w:lineRule="auto" w:line="240" w:before="0" w:after="0"/>
        <w:jc w:val="both"/>
        <w:rPr/>
      </w:pPr>
      <w:r>
        <w:rPr/>
      </w:r>
    </w:p>
    <w:p>
      <w:pPr>
        <w:pStyle w:val="Text"/>
        <w:ind w:left="510" w:hanging="0"/>
        <w:rPr>
          <w:i/>
          <w:i/>
        </w:rPr>
      </w:pPr>
      <w:r>
        <w:rPr>
          <w:b/>
        </w:rPr>
        <w:t>Papers from Conference Proceedings (Published)</w:t>
      </w:r>
    </w:p>
    <w:p>
      <w:pPr>
        <w:pStyle w:val="References"/>
        <w:numPr>
          <w:ilvl w:val="0"/>
          <w:numId w:val="1"/>
        </w:numPr>
        <w:tabs>
          <w:tab w:val="clear" w:pos="720"/>
        </w:tabs>
        <w:ind w:left="400" w:hanging="400"/>
        <w:rPr>
          <w:sz w:val="20"/>
        </w:rPr>
      </w:pPr>
      <w:r>
        <w:rPr>
          <w:sz w:val="20"/>
        </w:rPr>
        <w:t xml:space="preserve">Alqueres, J. L. &amp; Praca, J. C. (2006) "The Brazilian power system and the challenge of the Amazon transmission," in </w:t>
      </w:r>
      <w:r>
        <w:rPr>
          <w:i/>
          <w:sz w:val="20"/>
        </w:rPr>
        <w:t>Proc IEEE Power Engineering Society Transmission and Distribution Conf.</w:t>
      </w:r>
      <w:r>
        <w:rPr>
          <w:sz w:val="20"/>
        </w:rPr>
        <w:t xml:space="preserve">, pp. 315-320. </w:t>
      </w:r>
    </w:p>
    <w:p>
      <w:pPr>
        <w:pStyle w:val="References"/>
        <w:numPr>
          <w:ilvl w:val="0"/>
          <w:numId w:val="1"/>
        </w:numPr>
        <w:tabs>
          <w:tab w:val="clear" w:pos="720"/>
        </w:tabs>
        <w:ind w:left="400" w:hanging="400"/>
        <w:rPr>
          <w:sz w:val="20"/>
        </w:rPr>
      </w:pPr>
      <w:r>
        <w:rPr>
          <w:sz w:val="20"/>
        </w:rPr>
      </w:r>
    </w:p>
    <w:p>
      <w:pPr>
        <w:pStyle w:val="Text"/>
        <w:ind w:left="510" w:hanging="0"/>
        <w:rPr>
          <w:b/>
          <w:b/>
        </w:rPr>
      </w:pPr>
      <w:r>
        <w:rPr>
          <w:b/>
        </w:rPr>
        <w:t>Standards</w:t>
      </w:r>
    </w:p>
    <w:p>
      <w:pPr>
        <w:pStyle w:val="References"/>
        <w:numPr>
          <w:ilvl w:val="0"/>
          <w:numId w:val="1"/>
        </w:numPr>
        <w:tabs>
          <w:tab w:val="clear" w:pos="720"/>
        </w:tabs>
        <w:ind w:left="400" w:hanging="400"/>
        <w:rPr>
          <w:sz w:val="20"/>
        </w:rPr>
      </w:pPr>
      <w:r>
        <w:rPr>
          <w:i/>
          <w:sz w:val="20"/>
        </w:rPr>
        <w:t>IEEE Guide for Application of Shunt Power Capacitors</w:t>
      </w:r>
      <w:r>
        <w:rPr>
          <w:sz w:val="20"/>
        </w:rPr>
        <w:t>, IEEE Std. 1036-2010, Sep. 2010.</w:t>
      </w:r>
    </w:p>
    <w:p>
      <w:pPr>
        <w:pStyle w:val="Normal"/>
        <w:spacing w:lineRule="auto" w:line="240" w:before="0" w:after="0"/>
        <w:jc w:val="both"/>
        <w:rPr>
          <w:sz w:val="20"/>
          <w:szCs w:val="20"/>
        </w:rPr>
      </w:pPr>
      <w:r>
        <w:rPr>
          <w:sz w:val="20"/>
          <w:szCs w:val="20"/>
        </w:rPr>
      </w:r>
    </w:p>
    <w:p>
      <w:pPr>
        <w:pStyle w:val="Text"/>
        <w:ind w:left="510" w:hanging="0"/>
        <w:rPr>
          <w:b/>
          <w:b/>
        </w:rPr>
      </w:pPr>
      <w:r>
        <w:rPr>
          <w:b/>
        </w:rPr>
        <w:t>Patents</w:t>
      </w:r>
    </w:p>
    <w:p>
      <w:pPr>
        <w:pStyle w:val="References"/>
        <w:numPr>
          <w:ilvl w:val="0"/>
          <w:numId w:val="1"/>
        </w:numPr>
        <w:tabs>
          <w:tab w:val="clear" w:pos="720"/>
        </w:tabs>
        <w:ind w:left="400" w:hanging="400"/>
        <w:rPr>
          <w:sz w:val="20"/>
        </w:rPr>
      </w:pPr>
      <w:r>
        <w:rPr>
          <w:sz w:val="20"/>
        </w:rPr>
        <w:t>Brandli, G. and Dick, M. "Alternating current fed power supply," U.S. Patent 4 084 217, Nov. 4, 1978.</w:t>
      </w:r>
    </w:p>
    <w:p>
      <w:pPr>
        <w:pStyle w:val="Normal"/>
        <w:spacing w:lineRule="auto" w:line="240" w:before="0" w:after="0"/>
        <w:jc w:val="both"/>
        <w:rPr>
          <w:sz w:val="20"/>
          <w:szCs w:val="20"/>
        </w:rPr>
      </w:pPr>
      <w:r>
        <w:rPr>
          <w:sz w:val="20"/>
          <w:szCs w:val="20"/>
        </w:rPr>
      </w:r>
    </w:p>
    <w:p>
      <w:pPr>
        <w:pStyle w:val="Normal"/>
        <w:spacing w:lineRule="auto" w:line="240" w:before="0" w:after="0"/>
        <w:jc w:val="both"/>
        <w:rPr>
          <w:rFonts w:ascii="Times New Roman" w:hAnsi="Times New Roman" w:cs="Times New Roman"/>
          <w:b/>
          <w:b/>
          <w:sz w:val="20"/>
          <w:szCs w:val="20"/>
        </w:rPr>
      </w:pPr>
      <w:r>
        <w:rPr>
          <w:rFonts w:cs="Times New Roman" w:ascii="Times New Roman" w:hAnsi="Times New Roman"/>
          <w:b/>
          <w:sz w:val="20"/>
          <w:szCs w:val="20"/>
        </w:rPr>
        <w:t>Unpublished Papers</w:t>
      </w:r>
    </w:p>
    <w:p>
      <w:pPr>
        <w:pStyle w:val="Normal"/>
        <w:spacing w:lineRule="auto" w:line="240" w:before="0" w:after="0"/>
        <w:ind w:left="540" w:hanging="540"/>
        <w:jc w:val="both"/>
        <w:rPr>
          <w:rFonts w:ascii="Times New Roman" w:hAnsi="Times New Roman" w:cs="Times New Roman"/>
          <w:sz w:val="20"/>
          <w:szCs w:val="20"/>
        </w:rPr>
      </w:pPr>
      <w:r>
        <w:rPr>
          <w:rFonts w:cs="Times New Roman" w:ascii="Times New Roman" w:hAnsi="Times New Roman"/>
          <w:sz w:val="20"/>
          <w:szCs w:val="20"/>
        </w:rPr>
        <w:t>Ebehard, D. and Voges, E. (1984) "Digital single sideband detection for interferometric sensors," unpublished, presented at the 2nd Int. Conf. Optical Fiber Sensors, Stuttgart, Germany.</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p>
      <w:pPr>
        <w:pStyle w:val="Normal"/>
        <w:spacing w:lineRule="auto" w:line="240" w:before="0" w:after="0"/>
        <w:ind w:left="450" w:hanging="450"/>
        <w:jc w:val="both"/>
        <w:rPr>
          <w:rFonts w:ascii="Times New Roman" w:hAnsi="Times New Roman" w:cs="Times New Roman"/>
          <w:sz w:val="20"/>
          <w:szCs w:val="20"/>
        </w:rPr>
      </w:pPr>
      <w:r>
        <w:rPr>
          <w:rFonts w:cs="Times New Roman" w:ascii="Times New Roman" w:hAnsi="Times New Roman"/>
          <w:sz w:val="20"/>
          <w:szCs w:val="20"/>
        </w:rPr>
        <w:t>Process Corp., Framingham, MA. “Intranets: Internet technologies deployed behind the firewall for corporate productivity,” unpublished. Presented at INET96 Annu. Meeting. [Online]. Available: http://home.process.com/ Intranets/wp2.htp</w:t>
      </w:r>
    </w:p>
    <w:p>
      <w:pPr>
        <w:pStyle w:val="Normal"/>
        <w:spacing w:lineRule="auto" w:line="240" w:before="0" w:after="0"/>
        <w:ind w:left="450" w:hanging="450"/>
        <w:jc w:val="both"/>
        <w:rPr>
          <w:rFonts w:ascii="Times New Roman" w:hAnsi="Times New Roman" w:cs="Times New Roman"/>
          <w:sz w:val="20"/>
          <w:szCs w:val="20"/>
        </w:rPr>
      </w:pPr>
      <w:r>
        <w:rPr>
          <w:rFonts w:cs="Times New Roman" w:ascii="Times New Roman" w:hAnsi="Times New Roman"/>
          <w:sz w:val="20"/>
          <w:szCs w:val="20"/>
        </w:rPr>
      </w:r>
    </w:p>
    <w:p>
      <w:pPr>
        <w:pStyle w:val="Text"/>
        <w:ind w:left="510" w:hanging="0"/>
        <w:rPr>
          <w:i/>
          <w:i/>
        </w:rPr>
      </w:pPr>
      <w:r>
        <w:rPr>
          <w:b/>
        </w:rPr>
        <w:t>Technical Reports</w:t>
      </w:r>
      <w:r>
        <w:rPr>
          <w:i/>
        </w:rPr>
        <w:t>:</w:t>
      </w:r>
    </w:p>
    <w:p>
      <w:pPr>
        <w:pStyle w:val="References"/>
        <w:numPr>
          <w:ilvl w:val="0"/>
          <w:numId w:val="1"/>
        </w:numPr>
        <w:tabs>
          <w:tab w:val="clear" w:pos="720"/>
        </w:tabs>
        <w:ind w:left="400" w:hanging="400"/>
        <w:rPr>
          <w:sz w:val="20"/>
        </w:rPr>
      </w:pPr>
      <w:r>
        <w:rPr>
          <w:sz w:val="20"/>
        </w:rPr>
        <w:t>Reber, E. E., Mitchell, R. L. &amp; Carter, C. J. (2003) "Oxygen absorption in the Earth's atmosphere," Aerospace Corp., Los Angeles, CA, Tech. Rep. TR-0200 (4230-46)-3, Nov. 200</w:t>
      </w:r>
    </w:p>
    <w:p>
      <w:pPr>
        <w:sectPr>
          <w:footnotePr>
            <w:numFmt w:val="decimal"/>
          </w:footnotePr>
          <w:type w:val="continuous"/>
          <w:pgSz w:w="12240" w:h="15840"/>
          <w:pgMar w:left="1080" w:right="864" w:gutter="0" w:header="360" w:top="1440" w:footer="720" w:bottom="1080"/>
          <w:cols w:num="2" w:space="720" w:equalWidth="true" w:sep="false"/>
          <w:formProt w:val="false"/>
          <w:textDirection w:val="lrTb"/>
          <w:docGrid w:type="default" w:linePitch="299" w:charSpace="0"/>
        </w:sectPr>
      </w:pPr>
    </w:p>
    <w:p>
      <w:pPr>
        <w:pStyle w:val="Normal"/>
        <w:spacing w:before="0" w:after="200"/>
        <w:rPr>
          <w:sz w:val="20"/>
          <w:szCs w:val="20"/>
        </w:rPr>
      </w:pPr>
      <w:r>
        <w:rPr/>
      </w:r>
    </w:p>
    <w:sectPr>
      <w:footnotePr>
        <w:numFmt w:val="decimal"/>
      </w:footnotePr>
      <w:type w:val="continuous"/>
      <w:pgSz w:w="12240" w:h="15840"/>
      <w:pgMar w:left="1080" w:right="864" w:gutter="0" w:header="360" w:top="1440" w:footer="720" w:bottom="1080"/>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Symbol">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napToGrid w:val="false"/>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napToGrid w:val="false"/>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napToGrid w:val="false"/>
      <w:spacing w:before="0" w:after="20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
        <w:rPr>
          <w:rFonts w:ascii="Times New Roman" w:hAnsi="Times New Roman" w:cs="Times New Roman"/>
          <w:sz w:val="16"/>
          <w:szCs w:val="16"/>
        </w:rPr>
      </w:pPr>
      <w:r>
        <w:rPr>
          <w:rStyle w:val="FootnoteCharacters"/>
        </w:rPr>
        <w:t></w:t>
      </w:r>
      <w:r>
        <w:rPr>
          <w:rStyle w:val="FootnoteCharacters"/>
        </w:rPr>
        <w:t></w:t>
      </w:r>
      <w:r>
        <w:rPr>
          <w:rFonts w:cs="Times New Roman" w:ascii="Times New Roman" w:hAnsi="Times New Roman"/>
          <w:sz w:val="16"/>
          <w:szCs w:val="16"/>
        </w:rPr>
        <w:t xml:space="preserve"> </w:t>
      </w:r>
      <w:r>
        <w:rPr>
          <w:rFonts w:cs="Times New Roman" w:ascii="Times New Roman" w:hAnsi="Times New Roman"/>
          <w:sz w:val="16"/>
          <w:szCs w:val="16"/>
        </w:rPr>
        <w:t>Corresponding author email</w:t>
      </w:r>
    </w:p>
    <w:p>
      <w:pPr>
        <w:pStyle w:val="Footnote"/>
        <w:rPr>
          <w:sz w:val="16"/>
          <w:szCs w:val="16"/>
        </w:rPr>
      </w:pPr>
      <w:r>
        <w:rPr>
          <w:sz w:val="16"/>
          <w:szCs w:val="16"/>
        </w:rPr>
        <w:t xml:space="preserve">   </w:t>
      </w:r>
      <w:r>
        <w:rPr>
          <w:rFonts w:eastAsia="Times New Roman" w:cs="Times New Roman" w:ascii="Times New Roman" w:hAnsi="Times New Roman"/>
          <w:color w:val="000000"/>
          <w:sz w:val="16"/>
          <w:szCs w:val="16"/>
        </w:rPr>
        <w:t>first.author@email.com</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cs="Times New Roman"/>
        <w:sz w:val="20"/>
        <w:szCs w:val="20"/>
      </w:rPr>
    </w:pPr>
    <w:r>
      <w:rPr>
        <w:rFonts w:cs="Times New Roman" w:ascii="Times New Roman" w:hAnsi="Times New Roman"/>
        <w:sz w:val="20"/>
        <w:szCs w:val="20"/>
      </w:rPr>
      <w:t>International Journal of Engineering and Technology (InJET) 2022 xx(xx)   xxx-xxx</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680"/>
        <w:tab w:val="clear" w:pos="9360"/>
        <w:tab w:val="left" w:pos="7965" w:leader="none"/>
      </w:tabs>
      <w:jc w:val="center"/>
      <w:rPr>
        <w:rFonts w:ascii="Times New Roman" w:hAnsi="Times New Roman" w:cs="Times New Roman"/>
        <w:sz w:val="20"/>
        <w:szCs w:val="20"/>
      </w:rPr>
    </w:pPr>
    <w:r>
      <w:rPr>
        <w:rFonts w:cs="Times New Roman" w:ascii="Times New Roman" w:hAnsi="Times New Roman"/>
        <w:sz w:val="20"/>
        <w:szCs w:val="20"/>
      </w:rPr>
      <w:t xml:space="preserve">Author 1 and Author 2 or Author 1 name </w:t>
    </w:r>
    <w:r>
      <w:rPr>
        <w:rFonts w:cs="Times New Roman" w:ascii="Times New Roman" w:hAnsi="Times New Roman"/>
        <w:i/>
        <w:iCs/>
        <w:sz w:val="20"/>
        <w:szCs w:val="20"/>
      </w:rPr>
      <w:t>et al</w:t>
    </w:r>
    <w:r>
      <w:rPr>
        <w:rFonts w:cs="Times New Roman" w:ascii="Times New Roman" w:hAnsi="Times New Roman"/>
        <w:sz w:val="20"/>
        <w:szCs w:val="20"/>
      </w:rPr>
      <w:t>./Paper title</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80" w:leader="none"/>
        <w:tab w:val="right" w:pos="9360" w:leader="none"/>
      </w:tabs>
      <w:spacing w:lineRule="auto" w:line="240" w:before="0" w:after="0"/>
      <w:rPr>
        <w:rFonts w:ascii="Arial" w:hAnsi="Arial" w:eastAsia="Times New Roman" w:cs="Arial"/>
        <w:bCs/>
        <w:iCs/>
        <w:color w:val="000000" w:themeColor="text1"/>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drawing>
        <wp:anchor behindDoc="0" distT="0" distB="0" distL="0" distR="114300" simplePos="0" locked="0" layoutInCell="0" allowOverlap="1" relativeHeight="2">
          <wp:simplePos x="0" y="0"/>
          <wp:positionH relativeFrom="margin">
            <wp:align>left</wp:align>
          </wp:positionH>
          <wp:positionV relativeFrom="paragraph">
            <wp:posOffset>9525</wp:posOffset>
          </wp:positionV>
          <wp:extent cx="581025" cy="561975"/>
          <wp:effectExtent l="0" t="0" r="0" b="0"/>
          <wp:wrapTight wrapText="bothSides">
            <wp:wrapPolygon edited="0">
              <wp:start x="-28" y="0"/>
              <wp:lineTo x="-28" y="21204"/>
              <wp:lineTo x="21218" y="21204"/>
              <wp:lineTo x="21218" y="0"/>
              <wp:lineTo x="-28" y="0"/>
            </wp:wrapPolygon>
          </wp:wrapTight>
          <wp:docPr id="1"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
                  <pic:cNvPicPr>
                    <a:picLocks noChangeAspect="1" noChangeArrowheads="1"/>
                  </pic:cNvPicPr>
                </pic:nvPicPr>
                <pic:blipFill>
                  <a:blip r:embed="rId1"/>
                  <a:stretch>
                    <a:fillRect/>
                  </a:stretch>
                </pic:blipFill>
                <pic:spPr bwMode="auto">
                  <a:xfrm>
                    <a:off x="0" y="0"/>
                    <a:ext cx="581025" cy="561975"/>
                  </a:xfrm>
                  <a:prstGeom prst="rect">
                    <a:avLst/>
                  </a:prstGeom>
                </pic:spPr>
              </pic:pic>
            </a:graphicData>
          </a:graphic>
        </wp:anchor>
      </w:drawing>
      <w:drawing>
        <wp:anchor behindDoc="0" distT="0" distB="0" distL="114300" distR="0" simplePos="0" locked="0" layoutInCell="0" allowOverlap="1" relativeHeight="3">
          <wp:simplePos x="0" y="0"/>
          <wp:positionH relativeFrom="margin">
            <wp:align>right</wp:align>
          </wp:positionH>
          <wp:positionV relativeFrom="paragraph">
            <wp:posOffset>9525</wp:posOffset>
          </wp:positionV>
          <wp:extent cx="590550" cy="590550"/>
          <wp:effectExtent l="0" t="0" r="0" b="0"/>
          <wp:wrapTight wrapText="bothSides">
            <wp:wrapPolygon edited="0">
              <wp:start x="-27" y="0"/>
              <wp:lineTo x="-27" y="20876"/>
              <wp:lineTo x="20876" y="20876"/>
              <wp:lineTo x="20876" y="0"/>
              <wp:lineTo x="-27" y="0"/>
            </wp:wrapPolygon>
          </wp:wrapTight>
          <wp:docPr id="2"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
                  <pic:cNvPicPr>
                    <a:picLocks noChangeAspect="1" noChangeArrowheads="1"/>
                  </pic:cNvPicPr>
                </pic:nvPicPr>
                <pic:blipFill>
                  <a:blip r:embed="rId2"/>
                  <a:stretch>
                    <a:fillRect/>
                  </a:stretch>
                </pic:blipFill>
                <pic:spPr bwMode="auto">
                  <a:xfrm>
                    <a:off x="0" y="0"/>
                    <a:ext cx="590550" cy="590550"/>
                  </a:xfrm>
                  <a:prstGeom prst="rect">
                    <a:avLst/>
                  </a:prstGeom>
                </pic:spPr>
              </pic:pic>
            </a:graphicData>
          </a:graphic>
        </wp:anchor>
      </w:drawing>
    </w:r>
    <w:r>
      <w:rPr>
        <w:rFonts w:eastAsia="Times New Roman" w:cs="Arial" w:ascii="Arial" w:hAnsi="Arial"/>
        <w:bCs/>
        <w:iCs/>
        <w:color w:val="000000" w:themeColor="text1"/>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pPr>
      <w:pStyle w:val="Normal"/>
      <w:tabs>
        <w:tab w:val="clear" w:pos="720"/>
        <w:tab w:val="center" w:pos="4680" w:leader="none"/>
        <w:tab w:val="right" w:pos="9360" w:leader="none"/>
      </w:tabs>
      <w:spacing w:lineRule="auto" w:line="240" w:before="0" w:after="0"/>
      <w:rPr>
        <w:rFonts w:ascii="Arial" w:hAnsi="Arial" w:eastAsia="Times New Roman" w:cs="Arial"/>
        <w:bCs/>
        <w:iCs/>
        <w:color w:val="000000" w:themeColor="text1"/>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Arial" w:ascii="Arial" w:hAnsi="Arial"/>
        <w:b/>
        <w:bCs/>
        <w:sz w:val="20"/>
        <w:szCs w:val="20"/>
      </w:rPr>
      <w:t xml:space="preserve">     </w:t>
    </w:r>
    <w:r>
      <w:rPr>
        <w:rFonts w:cs="Arial" w:ascii="Arial" w:hAnsi="Arial"/>
        <w:b/>
        <w:bCs/>
        <w:sz w:val="20"/>
        <w:szCs w:val="20"/>
      </w:rPr>
      <w:t>I              International Journal of Engineering and Technology (InJET) 2022 xx(xx).  e-ISSN:…..</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decimal"/>
      <w:lvlText w:val="%1."/>
      <w:lvlJc w:val="left"/>
      <w:pPr>
        <w:tabs>
          <w:tab w:val="num" w:pos="0"/>
        </w:tabs>
        <w:ind w:left="510" w:hanging="510"/>
      </w:pPr>
      <w:rPr/>
    </w:lvl>
    <w:lvl w:ilvl="1">
      <w:start w:val="1"/>
      <w:numFmt w:val="decimal"/>
      <w:lvlText w:val="%1.%2"/>
      <w:lvlJc w:val="left"/>
      <w:pPr>
        <w:tabs>
          <w:tab w:val="num" w:pos="0"/>
        </w:tabs>
        <w:ind w:left="855" w:hanging="855"/>
      </w:pPr>
      <w:rPr/>
    </w:lvl>
    <w:lvl w:ilvl="2">
      <w:start w:val="1"/>
      <w:numFmt w:val="decimal"/>
      <w:lvlText w:val="%1.%2.%3"/>
      <w:lvlJc w:val="left"/>
      <w:pPr>
        <w:tabs>
          <w:tab w:val="num" w:pos="0"/>
        </w:tabs>
        <w:ind w:left="855" w:hanging="855"/>
      </w:pPr>
      <w:rPr/>
    </w:lvl>
    <w:lvl w:ilvl="3">
      <w:start w:val="1"/>
      <w:numFmt w:val="decimal"/>
      <w:lvlText w:val="%1.%2.%3.%4"/>
      <w:lvlJc w:val="left"/>
      <w:pPr>
        <w:tabs>
          <w:tab w:val="num" w:pos="0"/>
        </w:tabs>
        <w:ind w:left="855" w:hanging="855"/>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embedSystemFonts/>
  <w:defaultTabStop w:val="720"/>
  <w:autoHyphenation w:val="true"/>
  <w:evenAndOddHeaders/>
  <w:footnotePr>
    <w:numFmt w:val="decimal"/>
    <w:footnote w:id="0"/>
    <w:footnote w:id="1"/>
  </w:foot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宋体" w:cs="" w:asciiTheme="minorHAnsi" w:cstheme="minorBidi" w:eastAsiaTheme="minorEastAsia" w:hAnsiTheme="minorHAnsi"/>
        <w:lang w:val="en-US" w:eastAsia="en-US"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uiPriority="99" w:semiHidden="1" w:unhideWhenUsed="1"/>
    <w:lsdException w:name="HTML Bottom of Form" w:uiPriority="99"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uiPriority="99" w:semiHidden="1" w:unhideWhenUsed="1"/>
    <w:lsdException w:name="Outline List 2" w:uiPriority="99" w:semiHidden="1" w:unhideWhenUsed="1"/>
    <w:lsdException w:name="Outline List 3" w:uiPriority="99"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unhideWhenUsed="1"/>
    <w:lsdException w:name="No Spacing" w:uiPriority="99"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unhideWhenUsed="1"/>
    <w:lsdException w:name="List Paragraph" w:uiPriority="34" w:qFormat="1"/>
    <w:lsdException w:name="Quote" w:uiPriority="99" w:semiHidden="1" w:unhideWhenUsed="1"/>
    <w:lsdException w:name="Intense Quote" w:uiPriority="99"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Calibri" w:asciiTheme="minorHAnsi" w:hAnsiTheme="minorHAnsi"/>
      <w:color w:val="auto"/>
      <w:kern w:val="0"/>
      <w:sz w:val="22"/>
      <w:szCs w:val="22"/>
      <w:lang w:val="en-US" w:eastAsia="en-US" w:bidi="ar-SA"/>
    </w:rPr>
  </w:style>
  <w:style w:type="paragraph" w:styleId="Heading1">
    <w:name w:val="Heading 1"/>
    <w:basedOn w:val="Normal"/>
    <w:next w:val="Normal"/>
    <w:qFormat/>
    <w:pPr>
      <w:keepNext w:val="true"/>
      <w:spacing w:lineRule="auto" w:line="240" w:before="240" w:after="240"/>
      <w:ind w:left="510" w:hanging="510"/>
      <w:outlineLvl w:val="0"/>
    </w:pPr>
    <w:rPr>
      <w:rFonts w:ascii="Times New Roman" w:hAnsi="Times New Roman" w:eastAsia="Times New Roman" w:cs="Times New Roman"/>
      <w:b/>
      <w:smallCaps/>
      <w:color w:val="000000"/>
    </w:rPr>
  </w:style>
  <w:style w:type="paragraph" w:styleId="Heading2">
    <w:name w:val="Heading 2"/>
    <w:basedOn w:val="Normal"/>
    <w:next w:val="Normal"/>
    <w:qFormat/>
    <w:pPr>
      <w:keepNext w:val="true"/>
      <w:spacing w:lineRule="auto" w:line="240" w:before="0" w:after="240"/>
      <w:ind w:left="855" w:hanging="855"/>
      <w:jc w:val="both"/>
      <w:outlineLvl w:val="1"/>
    </w:pPr>
    <w:rPr>
      <w:rFonts w:ascii="Times New Roman" w:hAnsi="Times New Roman" w:eastAsia="Times New Roman" w:cs="Times New Roman"/>
      <w:b/>
    </w:rPr>
  </w:style>
  <w:style w:type="character" w:styleId="DefaultParagraphFont" w:default="1">
    <w:name w:val="Default Paragraph Font"/>
    <w:uiPriority w:val="1"/>
    <w:semiHidden/>
    <w:unhideWhenUsed/>
    <w:qFormat/>
    <w:rPr/>
  </w:style>
  <w:style w:type="character" w:styleId="InternetLink">
    <w:name w:val="Hyperlink"/>
    <w:basedOn w:val="DefaultParagraphFont"/>
    <w:uiPriority w:val="99"/>
    <w:unhideWhenUsed/>
    <w:qFormat/>
    <w:rPr>
      <w:color w:val="0563C1" w:themeColor="hyperlink"/>
      <w:u w:val="single"/>
    </w:rPr>
  </w:style>
  <w:style w:type="character" w:styleId="BalloonTextChar" w:customStyle="1">
    <w:name w:val="Balloon Text Char"/>
    <w:basedOn w:val="DefaultParagraphFont"/>
    <w:link w:val="BalloonText"/>
    <w:qFormat/>
    <w:rsid w:val="00485f3d"/>
    <w:rPr>
      <w:rFonts w:ascii="Tahoma" w:hAnsi="Tahoma" w:eastAsia="Calibri" w:cs="Tahoma"/>
      <w:sz w:val="16"/>
      <w:szCs w:val="16"/>
    </w:rPr>
  </w:style>
  <w:style w:type="character" w:styleId="HeaderChar" w:customStyle="1">
    <w:name w:val="Header Char"/>
    <w:basedOn w:val="DefaultParagraphFont"/>
    <w:link w:val="Header"/>
    <w:qFormat/>
    <w:rsid w:val="00c52b08"/>
    <w:rPr>
      <w:rFonts w:ascii="Calibri" w:hAnsi="Calibri" w:eastAsia="Calibri" w:cs="Calibri"/>
      <w:sz w:val="22"/>
      <w:szCs w:val="22"/>
    </w:rPr>
  </w:style>
  <w:style w:type="character" w:styleId="FootnoteTextChar" w:customStyle="1">
    <w:name w:val="Footnote Text Char"/>
    <w:basedOn w:val="DefaultParagraphFont"/>
    <w:link w:val="Footnote"/>
    <w:semiHidden/>
    <w:qFormat/>
    <w:rsid w:val="00956aad"/>
    <w:rPr>
      <w:rFonts w:ascii="Calibri" w:hAnsi="Calibri" w:eastAsia="Calibri" w:cs="Calibri"/>
    </w:rPr>
  </w:style>
  <w:style w:type="character" w:styleId="FootnoteCharacters">
    <w:name w:val="Footnote Characters"/>
    <w:semiHidden/>
    <w:unhideWhenUsed/>
    <w:qFormat/>
    <w:rsid w:val="00956aad"/>
    <w:rPr>
      <w:vertAlign w:val="superscript"/>
    </w:rPr>
  </w:style>
  <w:style w:type="character" w:styleId="FootnoteAnchor">
    <w:name w:val="Footnote Reference"/>
    <w:rPr>
      <w:vertAlign w:val="superscript"/>
    </w:rPr>
  </w:style>
  <w:style w:type="character" w:styleId="EndnoteCharacters">
    <w:name w:val="Endnote Characters"/>
    <w:qFormat/>
    <w:rPr/>
  </w:style>
  <w:style w:type="character" w:styleId="EndnoteAnchor">
    <w:name w:val="Endnote Reference"/>
    <w:rPr>
      <w:vertAlign w:val="superscript"/>
    </w:rPr>
  </w:style>
  <w:style w:type="paragraph" w:styleId="Heading">
    <w:name w:val="Heading"/>
    <w:basedOn w:val="Normal"/>
    <w:next w:val="TextBody"/>
    <w:qFormat/>
    <w:pPr>
      <w:keepNext w:val="true"/>
      <w:spacing w:before="240" w:after="120"/>
    </w:pPr>
    <w:rPr>
      <w:rFonts w:ascii="Liberation Sans" w:hAnsi="Liberation Sans" w:eastAsia="Arial Unicode MS" w:cs="Mangal"/>
      <w:sz w:val="28"/>
      <w:szCs w:val="28"/>
    </w:rPr>
  </w:style>
  <w:style w:type="paragraph" w:styleId="TextBody">
    <w:name w:val="Body Text"/>
    <w:basedOn w:val="Normal"/>
    <w:qFormat/>
    <w:pPr>
      <w:spacing w:lineRule="auto" w:line="228" w:before="0" w:after="120"/>
      <w:ind w:firstLine="288"/>
      <w:jc w:val="both"/>
    </w:pPr>
    <w:rPr>
      <w:rFonts w:ascii="Times New Roman" w:hAnsi="Times New Roman" w:eastAsia="Times New Roman" w:cs="Times New Roman"/>
      <w:spacing w:val="-1"/>
      <w:sz w:val="20"/>
      <w:szCs w:val="20"/>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snapToGrid w:val="false"/>
    </w:pPr>
    <w:rPr>
      <w:sz w:val="18"/>
      <w:szCs w:val="18"/>
    </w:rPr>
  </w:style>
  <w:style w:type="paragraph" w:styleId="ListNumber">
    <w:name w:val="List Number"/>
    <w:basedOn w:val="Normal"/>
    <w:qFormat/>
    <w:pPr>
      <w:numPr>
        <w:ilvl w:val="0"/>
        <w:numId w:val="1"/>
      </w:numPr>
    </w:pPr>
    <w:rPr/>
  </w:style>
  <w:style w:type="paragraph" w:styleId="ListParagraph">
    <w:name w:val="List Paragraph"/>
    <w:basedOn w:val="Normal"/>
    <w:uiPriority w:val="34"/>
    <w:qFormat/>
    <w:pPr>
      <w:spacing w:before="0" w:after="200"/>
      <w:ind w:left="720" w:hanging="0"/>
      <w:contextualSpacing/>
    </w:pPr>
    <w:rPr/>
  </w:style>
  <w:style w:type="paragraph" w:styleId="Tablecolhead" w:customStyle="1">
    <w:name w:val="table col head"/>
    <w:basedOn w:val="Normal"/>
    <w:qFormat/>
    <w:pPr>
      <w:spacing w:lineRule="auto" w:line="240" w:before="0" w:after="0"/>
      <w:jc w:val="center"/>
    </w:pPr>
    <w:rPr>
      <w:rFonts w:ascii="Times New Roman" w:hAnsi="Times New Roman" w:eastAsia="Times New Roman" w:cs="Times New Roman"/>
      <w:b/>
      <w:bCs/>
      <w:sz w:val="16"/>
      <w:szCs w:val="16"/>
    </w:rPr>
  </w:style>
  <w:style w:type="paragraph" w:styleId="Tablecolsubhead" w:customStyle="1">
    <w:name w:val="table col subhead"/>
    <w:basedOn w:val="Tablecolhead"/>
    <w:qFormat/>
    <w:pPr/>
    <w:rPr>
      <w:i/>
      <w:iCs/>
      <w:sz w:val="15"/>
      <w:szCs w:val="15"/>
    </w:rPr>
  </w:style>
  <w:style w:type="paragraph" w:styleId="Tablecopy" w:customStyle="1">
    <w:name w:val="table copy"/>
    <w:qFormat/>
    <w:pPr>
      <w:widowControl/>
      <w:suppressAutoHyphens w:val="true"/>
      <w:bidi w:val="0"/>
      <w:spacing w:before="0" w:after="0"/>
      <w:jc w:val="both"/>
    </w:pPr>
    <w:rPr>
      <w:rFonts w:ascii="Times New Roman" w:hAnsi="Times New Roman" w:eastAsia="Times New Roman" w:cs="Times New Roman"/>
      <w:color w:val="auto"/>
      <w:kern w:val="0"/>
      <w:sz w:val="16"/>
      <w:szCs w:val="16"/>
      <w:lang w:val="en-US" w:eastAsia="en-US" w:bidi="ar-SA"/>
    </w:rPr>
  </w:style>
  <w:style w:type="paragraph" w:styleId="Text" w:customStyle="1">
    <w:name w:val="Text"/>
    <w:basedOn w:val="Normal"/>
    <w:qFormat/>
    <w:pPr>
      <w:widowControl w:val="false"/>
      <w:spacing w:lineRule="auto" w:line="252" w:before="0" w:after="0"/>
      <w:ind w:firstLine="240"/>
      <w:jc w:val="both"/>
    </w:pPr>
    <w:rPr>
      <w:rFonts w:ascii="Times New Roman" w:hAnsi="Times New Roman" w:eastAsia="Times New Roman" w:cs="Times New Roman"/>
      <w:sz w:val="20"/>
      <w:szCs w:val="20"/>
    </w:rPr>
  </w:style>
  <w:style w:type="paragraph" w:styleId="References" w:customStyle="1">
    <w:name w:val="References"/>
    <w:basedOn w:val="ListNumber"/>
    <w:qFormat/>
    <w:pPr>
      <w:spacing w:lineRule="auto" w:line="240" w:before="0" w:after="0"/>
      <w:jc w:val="both"/>
    </w:pPr>
    <w:rPr>
      <w:rFonts w:ascii="Times New Roman" w:hAnsi="Times New Roman" w:eastAsia="Times New Roman" w:cs="Times New Roman"/>
      <w:sz w:val="16"/>
      <w:szCs w:val="20"/>
    </w:rPr>
  </w:style>
  <w:style w:type="paragraph" w:styleId="BalloonText">
    <w:name w:val="Balloon Text"/>
    <w:basedOn w:val="Normal"/>
    <w:link w:val="BalloonTextChar"/>
    <w:qFormat/>
    <w:rsid w:val="00485f3d"/>
    <w:pPr>
      <w:spacing w:lineRule="auto" w:line="240" w:before="0" w:after="0"/>
    </w:pPr>
    <w:rPr>
      <w:rFonts w:ascii="Tahoma" w:hAnsi="Tahoma" w:cs="Tahoma"/>
      <w:sz w:val="16"/>
      <w:szCs w:val="16"/>
    </w:rPr>
  </w:style>
  <w:style w:type="paragraph" w:styleId="Header">
    <w:name w:val="Header"/>
    <w:basedOn w:val="Normal"/>
    <w:link w:val="HeaderChar"/>
    <w:rsid w:val="00c52b08"/>
    <w:pPr>
      <w:tabs>
        <w:tab w:val="clear" w:pos="720"/>
        <w:tab w:val="center" w:pos="4680" w:leader="none"/>
        <w:tab w:val="right" w:pos="9360" w:leader="none"/>
      </w:tabs>
      <w:spacing w:lineRule="auto" w:line="240" w:before="0" w:after="0"/>
    </w:pPr>
    <w:rPr/>
  </w:style>
  <w:style w:type="paragraph" w:styleId="Footnote">
    <w:name w:val="Footnote Text"/>
    <w:basedOn w:val="Normal"/>
    <w:link w:val="FootnoteTextChar"/>
    <w:semiHidden/>
    <w:unhideWhenUsed/>
    <w:rsid w:val="00956aad"/>
    <w:pPr>
      <w:spacing w:lineRule="auto" w:line="240" w:before="0" w:after="0"/>
    </w:pPr>
    <w:rPr>
      <w:sz w:val="20"/>
      <w:szCs w:val="20"/>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chart" Target="charts/chart1.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Relationship Id="rId15" Type="http://schemas.openxmlformats.org/officeDocument/2006/relationships/customXml" Target="../customXml/item2.xml"/>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charts/chart1.xml><?xml version="1.0" encoding="utf-8"?>
<c:chartSpace xmlns:c="http://schemas.openxmlformats.org/drawingml/2006/chart" xmlns:a="http://schemas.openxmlformats.org/drawingml/2006/main" xmlns:r="http://schemas.openxmlformats.org/officeDocument/2006/relationships">
  <c:lang val="en-US"/>
  <c:roundedCorners val="0"/>
  <c:chart>
    <c:autoTitleDeleted val="1"/>
    <c:view3D>
      <c:rotX val="30"/>
      <c:rotY val="0"/>
      <c:rAngAx val="0"/>
      <c:perspective val="30"/>
    </c:view3D>
    <c:floor>
      <c:spPr>
        <a:solidFill>
          <a:srgbClr val="d9d9d9"/>
        </a:solidFill>
        <a:ln w="0">
          <a:noFill/>
        </a:ln>
      </c:spPr>
    </c:floor>
    <c:sideWall>
      <c:spPr>
        <a:solidFill>
          <a:srgbClr val="d9d9d9"/>
        </a:solidFill>
        <a:ln w="0">
          <a:noFill/>
        </a:ln>
      </c:spPr>
    </c:sideWall>
    <c:backWall>
      <c:spPr>
        <a:solidFill>
          <a:srgbClr val="d9d9d9"/>
        </a:solidFill>
        <a:ln w="0">
          <a:noFill/>
        </a:ln>
      </c:spPr>
    </c:backWall>
    <c:plotArea>
      <c:layout>
        <c:manualLayout>
          <c:layoutTarget val="inner"/>
          <c:xMode val="edge"/>
          <c:yMode val="edge"/>
          <c:x val="0.1105"/>
          <c:y val="0.138111111111111"/>
          <c:w val="0.7396875"/>
          <c:h val="0.689444444444444"/>
        </c:manualLayout>
      </c:layout>
      <c:pie3DChart>
        <c:varyColors val="1"/>
        <c:ser>
          <c:idx val="0"/>
          <c:order val="0"/>
          <c:tx>
            <c:strRef>
              <c:f>label 0</c:f>
              <c:strCache>
                <c:ptCount val="1"/>
                <c:pt idx="0">
                  <c:v>Series1</c:v>
                </c:pt>
              </c:strCache>
            </c:strRef>
          </c:tx>
          <c:spPr>
            <a:solidFill>
              <a:srgbClr val="5b9bd5"/>
            </a:solidFill>
            <a:ln w="0">
              <a:noFill/>
            </a:ln>
          </c:spPr>
          <c:explosion val="0"/>
          <c:dPt>
            <c:idx val="0"/>
            <c:spPr>
              <a:solidFill>
                <a:srgbClr val="5b9bd5"/>
              </a:solidFill>
              <a:ln w="0">
                <a:noFill/>
              </a:ln>
            </c:spPr>
          </c:dPt>
          <c:dPt>
            <c:idx val="1"/>
            <c:spPr>
              <a:solidFill>
                <a:srgbClr val="ed7d31"/>
              </a:solidFill>
              <a:ln w="0">
                <a:noFill/>
              </a:ln>
            </c:spPr>
          </c:dPt>
          <c:dPt>
            <c:idx val="2"/>
            <c:spPr>
              <a:solidFill>
                <a:srgbClr val="a5a5a5"/>
              </a:solidFill>
              <a:ln w="0">
                <a:noFill/>
              </a:ln>
            </c:spPr>
          </c:dPt>
          <c:dPt>
            <c:idx val="3"/>
            <c:spPr>
              <a:solidFill>
                <a:srgbClr val="ffc000"/>
              </a:solidFill>
              <a:ln w="0">
                <a:noFill/>
              </a:ln>
            </c:spPr>
          </c:dPt>
          <c:dLbls>
            <c:dLbl>
              <c:idx val="0"/>
              <c:txPr>
                <a:bodyPr wrap="square"/>
                <a:lstStyle/>
                <a:p>
                  <a:pPr>
                    <a:defRPr b="0" lang="en-US" sz="1000" spc="-1" strike="noStrike">
                      <a:solidFill>
                        <a:srgbClr val="000000"/>
                      </a:solidFill>
                      <a:latin typeface="Calibri"/>
                    </a:defRPr>
                  </a:pPr>
                </a:p>
              </c:txPr>
              <c:tx>
                <c:rich>
                  <a:bodyPr/>
                  <a:p>
                    <a:r>
                      <a:rPr b="0" lang="en-US" sz="1000" spc="-1" strike="noStrike">
                        <a:solidFill>
                          <a:srgbClr val="000000"/>
                        </a:solidFill>
                        <a:latin typeface="Calibri"/>
                      </a:rPr>
                      <a:t>Thermal
47%</a:t>
                    </a:r>
                  </a:p>
                </c:rich>
              </c:tx>
              <c:dLblPos val="bestFit"/>
              <c:showLegendKey val="0"/>
              <c:showVal val="0"/>
              <c:showCatName val="0"/>
              <c:showSerName val="0"/>
              <c:showPercent val="0"/>
              <c:separator>
</c:separator>
            </c:dLbl>
            <c:dLbl>
              <c:idx val="1"/>
              <c:txPr>
                <a:bodyPr wrap="square"/>
                <a:lstStyle/>
                <a:p>
                  <a:pPr>
                    <a:defRPr b="0" lang="en-US" sz="1000" spc="-1" strike="noStrike">
                      <a:solidFill>
                        <a:srgbClr val="000000"/>
                      </a:solidFill>
                      <a:latin typeface="Calibri"/>
                    </a:defRPr>
                  </a:pPr>
                </a:p>
              </c:txPr>
              <c:tx>
                <c:rich>
                  <a:bodyPr/>
                  <a:p>
                    <a:r>
                      <a:rPr b="0" lang="en-US" sz="1000" spc="-1" strike="noStrike">
                        <a:solidFill>
                          <a:srgbClr val="000000"/>
                        </a:solidFill>
                        <a:latin typeface="Calibri"/>
                      </a:rPr>
                      <a:t>Hydro 
39%</a:t>
                    </a:r>
                  </a:p>
                </c:rich>
              </c:tx>
              <c:dLblPos val="bestFit"/>
              <c:showLegendKey val="0"/>
              <c:showVal val="0"/>
              <c:showCatName val="0"/>
              <c:showSerName val="0"/>
              <c:showPercent val="0"/>
              <c:separator>
</c:separator>
            </c:dLbl>
            <c:dLbl>
              <c:idx val="2"/>
              <c:txPr>
                <a:bodyPr wrap="square"/>
                <a:lstStyle/>
                <a:p>
                  <a:pPr>
                    <a:defRPr b="0" lang="en-US" sz="1000" spc="-1" strike="noStrike">
                      <a:solidFill>
                        <a:srgbClr val="000000"/>
                      </a:solidFill>
                      <a:latin typeface="Calibri"/>
                    </a:defRPr>
                  </a:pPr>
                </a:p>
              </c:txPr>
              <c:tx>
                <c:rich>
                  <a:bodyPr/>
                  <a:p>
                    <a:r>
                      <a:rPr b="0" lang="en-US" sz="1000" spc="-1" strike="noStrike">
                        <a:solidFill>
                          <a:srgbClr val="000000"/>
                        </a:solidFill>
                        <a:latin typeface="Calibri"/>
                      </a:rPr>
                      <a:t>Diesel 
14%</a:t>
                    </a:r>
                  </a:p>
                </c:rich>
              </c:tx>
              <c:dLblPos val="bestFit"/>
              <c:showLegendKey val="0"/>
              <c:showVal val="0"/>
              <c:showCatName val="0"/>
              <c:showSerName val="0"/>
              <c:showPercent val="0"/>
              <c:separator>
</c:separator>
            </c:dLbl>
            <c:dLbl>
              <c:idx val="3"/>
              <c:txPr>
                <a:bodyPr wrap="square"/>
                <a:lstStyle/>
                <a:p>
                  <a:pPr>
                    <a:defRPr b="0" lang="en-US" sz="1000" spc="-1" strike="noStrike">
                      <a:solidFill>
                        <a:srgbClr val="000000"/>
                      </a:solidFill>
                      <a:latin typeface="Calibri"/>
                    </a:defRPr>
                  </a:pPr>
                </a:p>
              </c:txPr>
              <c:tx>
                <c:rich>
                  <a:bodyPr/>
                  <a:p>
                    <a:r>
                      <a:rPr b="0" lang="en-US" sz="1000" spc="-1" strike="noStrike">
                        <a:solidFill>
                          <a:srgbClr val="000000"/>
                        </a:solidFill>
                        <a:latin typeface="Calibri"/>
                      </a:rPr>
                      <a:t>Wind 
0%</a:t>
                    </a:r>
                  </a:p>
                </c:rich>
              </c:tx>
              <c:dLblPos val="bestFit"/>
              <c:showLegendKey val="0"/>
              <c:showVal val="0"/>
              <c:showCatName val="0"/>
              <c:showSerName val="0"/>
              <c:showPercent val="0"/>
              <c:separator>
</c:separator>
            </c:dLbl>
            <c:txPr>
              <a:bodyPr wrap="square"/>
              <a:lstStyle/>
              <a:p>
                <a:pPr>
                  <a:defRPr b="0" lang="en-US" sz="1000" spc="-1" strike="noStrike">
                    <a:solidFill>
                      <a:srgbClr val="000000"/>
                    </a:solidFill>
                    <a:latin typeface="Calibri"/>
                  </a:defRPr>
                </a:pPr>
              </a:p>
            </c:txPr>
            <c:dLblPos val="bestFit"/>
            <c:showLegendKey val="0"/>
            <c:showVal val="0"/>
            <c:showCatName val="1"/>
            <c:showSerName val="0"/>
            <c:showPercent val="1"/>
            <c:separator>
</c:separator>
            <c:showLeaderLines val="1"/>
          </c:dLbls>
          <c:cat>
            <c:strRef>
              <c:f>categories</c:f>
              <c:strCache>
                <c:ptCount val="4"/>
                <c:pt idx="0">
                  <c:v>Thermal(MW)</c:v>
                </c:pt>
                <c:pt idx="1">
                  <c:v>Hydro (MW)</c:v>
                </c:pt>
                <c:pt idx="2">
                  <c:v>Diesel (MW)</c:v>
                </c:pt>
                <c:pt idx="3">
                  <c:v>Wind (MW)</c:v>
                </c:pt>
              </c:strCache>
            </c:strRef>
          </c:cat>
          <c:val>
            <c:numRef>
              <c:f>0</c:f>
              <c:numCache>
                <c:formatCode>General</c:formatCode>
                <c:ptCount val="4"/>
                <c:pt idx="0">
                  <c:v>2168</c:v>
                </c:pt>
                <c:pt idx="1">
                  <c:v>1800</c:v>
                </c:pt>
                <c:pt idx="2">
                  <c:v>618</c:v>
                </c:pt>
                <c:pt idx="3">
                  <c:v>0.005</c:v>
                </c:pt>
              </c:numCache>
            </c:numRef>
          </c:val>
        </c:ser>
      </c:pie3DChart>
    </c:plotArea>
    <c:plotVisOnly val="1"/>
    <c:dispBlanksAs val="zero"/>
  </c:chart>
  <c:spPr>
    <a:solidFill>
      <a:srgbClr val="ffffff"/>
    </a:solidFill>
    <a:ln w="9360">
      <a:solidFill>
        <a:srgbClr val="d9d9d9"/>
      </a:solidFill>
      <a:round/>
    </a:ln>
  </c:spPr>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0E2DD1-9FC8-4EF3-AD6E-CE8ED71C1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Application>LibreOffice/7.4.7.2$Linux_X86_64 LibreOffice_project/40$Build-2</Application>
  <AppVersion>15.0000</AppVersion>
  <Pages>4</Pages>
  <Words>1385</Words>
  <Characters>7731</Characters>
  <CharactersWithSpaces>9145</CharactersWithSpaces>
  <Paragraphs>88</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2022-07-16T15:09:00Z</dcterms:created>
  <dc:creator>ENGR JOEL</dc:creator>
  <dc:description/>
  <dc:language>en-NG</dc:language>
  <cp:lastModifiedBy/>
  <dcterms:modified xsi:type="dcterms:W3CDTF">2024-03-27T13:07:42Z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72C4B7DCDDAC4F42A458F3AFB56BD8FF</vt:lpwstr>
  </property>
  <property fmtid="{D5CDD505-2E9C-101B-9397-08002B2CF9AE}" pid="3" name="KSOProductBuildVer">
    <vt:lpwstr>1033-11.2.0.11156</vt:lpwstr>
  </property>
</Properties>
</file>